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F351" w14:textId="77777777" w:rsidR="00AD00BF" w:rsidRDefault="00000000">
      <w:pPr>
        <w:bidi/>
        <w:jc w:val="both"/>
        <w:rPr>
          <w:rFonts w:cs="B Nazanin"/>
          <w:color w:val="EE0000"/>
          <w:sz w:val="28"/>
          <w:szCs w:val="28"/>
        </w:rPr>
      </w:pPr>
      <w:r>
        <w:rPr>
          <w:rFonts w:cs="B Nazanin"/>
          <w:color w:val="EE0000"/>
          <w:sz w:val="28"/>
          <w:szCs w:val="28"/>
          <w:rtl/>
        </w:rPr>
        <w:t>عنوان: تحلیل فقهی حقوقی قاعده ضمان ید در تعیین مسئولیت کیفری پلتفرم‌های وام‌دهی غیرمتمرکز</w:t>
      </w:r>
    </w:p>
    <w:p w14:paraId="14E0538E" w14:textId="77777777" w:rsidR="00AD00BF" w:rsidRDefault="00AD00BF">
      <w:pPr>
        <w:bidi/>
        <w:jc w:val="both"/>
        <w:rPr>
          <w:rFonts w:cs="B Nazanin"/>
          <w:color w:val="EE0000"/>
          <w:sz w:val="28"/>
          <w:szCs w:val="28"/>
        </w:rPr>
      </w:pPr>
    </w:p>
    <w:p w14:paraId="7CF21C10" w14:textId="77777777" w:rsidR="00AD00BF" w:rsidRDefault="00000000">
      <w:pPr>
        <w:bidi/>
        <w:jc w:val="both"/>
        <w:rPr>
          <w:rFonts w:cs="B Nazanin"/>
          <w:color w:val="EE0000"/>
          <w:sz w:val="28"/>
          <w:szCs w:val="28"/>
        </w:rPr>
      </w:pPr>
      <w:r>
        <w:rPr>
          <w:rFonts w:cs="B Nazanin"/>
          <w:color w:val="EE0000"/>
          <w:sz w:val="28"/>
          <w:szCs w:val="28"/>
          <w:rtl/>
        </w:rPr>
        <w:t>چکیده</w:t>
      </w:r>
    </w:p>
    <w:p w14:paraId="6F2B9BD4" w14:textId="77777777" w:rsidR="00AD00BF" w:rsidRDefault="00000000">
      <w:pPr>
        <w:bidi/>
        <w:jc w:val="both"/>
      </w:pPr>
      <w:r>
        <w:rPr>
          <w:rFonts w:cs="B Nazanin"/>
          <w:color w:val="000000"/>
          <w:sz w:val="28"/>
          <w:szCs w:val="28"/>
          <w:rtl/>
        </w:rPr>
        <w:t xml:space="preserve">پژوهش حاضر با تمرکز بر قاعده‌ی فقهی «ضمان ید» به بررسی مسئولیت ناشی از تصرف غیرمجاز در مال غیر و انطباق آن با مسائل نوین فناوری‌های مالی غیرمتمرکز می‌پردازد. قاعده ضمان ید که ریشه در بنای عقلا، سیره‌ی مستمر مسلمانان و حدیث «علی الید ما أخذت حتی تؤدیه» دارد، در فقه امامیه به‌عنوان مبنای کلی ضمانت مالی پذیرفته شده و در حقوق مدنی ایران نیز انعکاس یافته است. تحلیل منابع نشان می‌دهد که این قاعده نه تنها در حوزه‌ی مدنی بلکه در حوزه‌ی کیفری نیز قابلیت انطباق دارد؛ به‌گونه‌ای که عنصر تقصیر یا عمد شرط تحقق ضمان نیست و صرف استیلا بر مال غیر موجب مسئولیت مدنی می‌شود، در حالی که در فرض عدوان یا قصور، مسئولیت کیفری نیز متصور است.  </w:t>
      </w:r>
    </w:p>
    <w:p w14:paraId="77060455" w14:textId="77777777" w:rsidR="00AD00BF" w:rsidRDefault="00000000">
      <w:pPr>
        <w:bidi/>
        <w:jc w:val="both"/>
      </w:pPr>
      <w:r>
        <w:rPr>
          <w:rFonts w:cs="B Nazanin"/>
          <w:color w:val="000000"/>
          <w:sz w:val="28"/>
          <w:szCs w:val="28"/>
          <w:rtl/>
        </w:rPr>
        <w:t xml:space="preserve">در بخش کاربردی، سناریوی سرقت دارایی‌های دیجیتال از یک پلتفرم وام‌دهی غیرمتمرکز به دلیل وجود باگ در قرارداد هوشمند بررسی شد. نتایج نشان داد که توسعه‌دهندگان اصلی پلتفرم به‌عنوان متصرفان اعتباری اولیه، در صورت اثبات قصور یا تقصیر، مشمول قاعده ضمان ید خواهند بود و علاوه بر مسئولیت مدنی، مسئولیت کیفری نیز متوجه آنان می‌شود.  </w:t>
      </w:r>
    </w:p>
    <w:p w14:paraId="3CE11582" w14:textId="77777777" w:rsidR="00AD00BF" w:rsidRDefault="00000000">
      <w:pPr>
        <w:bidi/>
        <w:jc w:val="both"/>
      </w:pPr>
      <w:r>
        <w:rPr>
          <w:rFonts w:cs="B Nazanin"/>
          <w:color w:val="000000"/>
          <w:sz w:val="28"/>
          <w:szCs w:val="28"/>
          <w:rtl/>
        </w:rPr>
        <w:t xml:space="preserve">افزون بر تحلیل نظری، مقاله راهکارهای اجرایی برای مواجهه با چالش‌های نوین ارائه می‌دهد: طراحی مدل سلسله‌مراتبی مسئولیت کیفری، تدوین چارچوب نظارتی پیشگیرانه، ایجاد سامانه پایش هوشمند و تنظیم الگوی تقنینی. این راهکارها موجب پیشگیری از خسارت‌های گسترده و تضمین پاسخگویی کیفری و مدنی متناسب با نقش و میزان استیلا بر اموال کاربران می‌شوند.  </w:t>
      </w:r>
    </w:p>
    <w:p w14:paraId="2202F3F8" w14:textId="77777777" w:rsidR="00AD00BF" w:rsidRDefault="00000000">
      <w:pPr>
        <w:bidi/>
        <w:jc w:val="both"/>
      </w:pPr>
      <w:r>
        <w:rPr>
          <w:rFonts w:cs="B Nazanin"/>
          <w:color w:val="000000"/>
          <w:sz w:val="28"/>
          <w:szCs w:val="28"/>
          <w:rtl/>
        </w:rPr>
        <w:t xml:space="preserve">در نهایت، قاعده ضمان ید به‌عنوان پلی میان فقه سنتی و حقوق مدرن معرفی می‌شود که می‌تواند مبنای نظری و عملی برای تنظیم مسئولیت کیفری در پلتفرم‌های غیرمتمرکز باشد و بدین ترتیب، هم از حقوق کاربران حمایت کند و هم نظم اقتصادی را در برابر تهدیدهای ناشی از فناوری‌های نوین حفظ نماید.  </w:t>
      </w:r>
    </w:p>
    <w:p w14:paraId="66563F77" w14:textId="77777777" w:rsidR="00AD00BF" w:rsidRDefault="00AD00BF">
      <w:pPr>
        <w:bidi/>
        <w:jc w:val="both"/>
        <w:rPr>
          <w:rFonts w:cs="B Nazanin"/>
          <w:color w:val="EE0000"/>
          <w:sz w:val="28"/>
          <w:szCs w:val="28"/>
        </w:rPr>
      </w:pPr>
    </w:p>
    <w:p w14:paraId="15CDB849" w14:textId="77777777" w:rsidR="00AD00BF" w:rsidRDefault="00AD00BF">
      <w:pPr>
        <w:bidi/>
        <w:jc w:val="both"/>
        <w:rPr>
          <w:rFonts w:cs="B Nazanin"/>
          <w:color w:val="EE0000"/>
          <w:sz w:val="28"/>
          <w:szCs w:val="28"/>
        </w:rPr>
      </w:pPr>
    </w:p>
    <w:p w14:paraId="10238C42" w14:textId="77777777" w:rsidR="00AD00BF" w:rsidRDefault="00AD00BF">
      <w:pPr>
        <w:bidi/>
        <w:jc w:val="both"/>
        <w:rPr>
          <w:rFonts w:cs="B Nazanin"/>
          <w:color w:val="EE0000"/>
          <w:sz w:val="28"/>
          <w:szCs w:val="28"/>
        </w:rPr>
      </w:pPr>
    </w:p>
    <w:p w14:paraId="3EC87B3F" w14:textId="77777777" w:rsidR="00AD00BF" w:rsidRDefault="00AD00BF">
      <w:pPr>
        <w:bidi/>
        <w:jc w:val="both"/>
        <w:rPr>
          <w:rFonts w:cs="B Nazanin"/>
          <w:color w:val="EE0000"/>
          <w:sz w:val="28"/>
          <w:szCs w:val="28"/>
        </w:rPr>
      </w:pPr>
    </w:p>
    <w:p w14:paraId="2C2CED5D" w14:textId="77777777" w:rsidR="00AD00BF" w:rsidRDefault="00000000">
      <w:pPr>
        <w:bidi/>
        <w:jc w:val="both"/>
      </w:pPr>
      <w:r>
        <w:rPr>
          <w:rFonts w:cs="B Nazanin"/>
          <w:color w:val="EE0000"/>
          <w:sz w:val="28"/>
          <w:szCs w:val="28"/>
          <w:rtl/>
        </w:rPr>
        <w:t>مقدمه</w:t>
      </w:r>
    </w:p>
    <w:p w14:paraId="529ADB95" w14:textId="77777777" w:rsidR="00AD00BF" w:rsidRDefault="00000000">
      <w:pPr>
        <w:bidi/>
        <w:jc w:val="both"/>
      </w:pPr>
      <w:r>
        <w:rPr>
          <w:rFonts w:cs="B Nazanin"/>
          <w:sz w:val="28"/>
          <w:szCs w:val="28"/>
          <w:rtl/>
        </w:rPr>
        <w:lastRenderedPageBreak/>
        <w:t xml:space="preserve">با گسترش فناوری‌های بلاکچین و ظهور پلتفرم‌های وام‌دهی غیرمتمرکز، مسائل حقوقی و کیفری جدیدی پدید آمده‌اند. این پلتفرم‌ها برخلاف سیستم‌های متمرکز، به واسطه قراردادهای هوشمند عمل می‌کنند و مدیریت منابع مالی در آنها غیرمتمرکز است. با این حال، حفره‌های امنیتی و باگ‌های کدنویسی می‌تواند منجر به وقوع سرقت‌های گسترده دیجیتال شود و خسارت مالی قابل توجهی به کاربران وارد کند. از منظر فقهی و حقوقی، پرسش اصلی این است که آیا توسعه‌دهندگان یا تیم مؤسس پلتفرم می‌توانند بر اساس قاعده ضمان ید و قوانین کیفری، مسئول شناخته شوند یا خیر. پژوهش حاضر در تلاش است با تلفیق تحلیل فقهی و حقوقی و ارائه مدل اجرایی، پاسخ علمی و عملی به این مسأله مستحدثه ارائه دهد.  محقق داماد، قواعد فقه، ص. </w:t>
      </w:r>
      <w:r>
        <w:rPr>
          <w:rFonts w:cs="B Nazanin"/>
          <w:sz w:val="28"/>
          <w:szCs w:val="28"/>
          <w:rtl/>
          <w:lang w:bidi="fa-IR"/>
        </w:rPr>
        <w:t>۱۲۳)</w:t>
      </w:r>
    </w:p>
    <w:p w14:paraId="19E6B1F5" w14:textId="77777777" w:rsidR="00AD00BF" w:rsidRDefault="00AD00BF">
      <w:pPr>
        <w:bidi/>
        <w:jc w:val="both"/>
        <w:rPr>
          <w:rFonts w:cs="B Nazanin"/>
          <w:sz w:val="28"/>
          <w:szCs w:val="28"/>
        </w:rPr>
      </w:pPr>
    </w:p>
    <w:p w14:paraId="4245BAC7" w14:textId="77777777" w:rsidR="00AD00BF" w:rsidRDefault="00AD00BF">
      <w:pPr>
        <w:bidi/>
        <w:jc w:val="both"/>
        <w:rPr>
          <w:rFonts w:cs="B Nazanin"/>
          <w:sz w:val="28"/>
          <w:szCs w:val="28"/>
        </w:rPr>
      </w:pPr>
    </w:p>
    <w:p w14:paraId="081B35AB" w14:textId="77777777" w:rsidR="00AD00BF" w:rsidRDefault="00AD00BF">
      <w:pPr>
        <w:bidi/>
        <w:jc w:val="both"/>
        <w:rPr>
          <w:rFonts w:cs="B Nazanin"/>
          <w:sz w:val="28"/>
          <w:szCs w:val="28"/>
        </w:rPr>
      </w:pPr>
    </w:p>
    <w:p w14:paraId="16E69EA4" w14:textId="77777777" w:rsidR="00AD00BF" w:rsidRDefault="00AD00BF">
      <w:pPr>
        <w:bidi/>
        <w:jc w:val="both"/>
        <w:rPr>
          <w:rFonts w:cs="B Nazanin"/>
          <w:sz w:val="28"/>
          <w:szCs w:val="28"/>
        </w:rPr>
      </w:pPr>
    </w:p>
    <w:p w14:paraId="2860B1ED" w14:textId="77777777" w:rsidR="00AD00BF" w:rsidRDefault="00AD00BF">
      <w:pPr>
        <w:bidi/>
        <w:jc w:val="both"/>
        <w:rPr>
          <w:rFonts w:cs="B Nazanin"/>
          <w:sz w:val="28"/>
          <w:szCs w:val="28"/>
        </w:rPr>
      </w:pPr>
    </w:p>
    <w:p w14:paraId="20969B5B" w14:textId="77777777" w:rsidR="00AD00BF" w:rsidRDefault="00AD00BF">
      <w:pPr>
        <w:bidi/>
        <w:jc w:val="both"/>
        <w:rPr>
          <w:rFonts w:cs="B Nazanin"/>
          <w:sz w:val="28"/>
          <w:szCs w:val="28"/>
        </w:rPr>
      </w:pPr>
    </w:p>
    <w:p w14:paraId="4CD2A5C2" w14:textId="77777777" w:rsidR="00AD00BF" w:rsidRDefault="00AD00BF">
      <w:pPr>
        <w:bidi/>
        <w:jc w:val="both"/>
        <w:rPr>
          <w:rFonts w:cs="B Nazanin"/>
          <w:sz w:val="28"/>
          <w:szCs w:val="28"/>
        </w:rPr>
      </w:pPr>
    </w:p>
    <w:p w14:paraId="482DEA0E" w14:textId="77777777" w:rsidR="00AD00BF" w:rsidRDefault="00AD00BF">
      <w:pPr>
        <w:bidi/>
        <w:jc w:val="both"/>
        <w:rPr>
          <w:rFonts w:cs="B Nazanin"/>
          <w:sz w:val="28"/>
          <w:szCs w:val="28"/>
        </w:rPr>
      </w:pPr>
    </w:p>
    <w:p w14:paraId="2478E81D" w14:textId="77777777" w:rsidR="00AD00BF" w:rsidRDefault="00AD00BF">
      <w:pPr>
        <w:bidi/>
        <w:jc w:val="both"/>
        <w:rPr>
          <w:rFonts w:cs="B Nazanin"/>
          <w:sz w:val="28"/>
          <w:szCs w:val="28"/>
        </w:rPr>
      </w:pPr>
    </w:p>
    <w:p w14:paraId="4D6D6FE2" w14:textId="77777777" w:rsidR="00AD00BF" w:rsidRDefault="00AD00BF">
      <w:pPr>
        <w:bidi/>
        <w:jc w:val="both"/>
        <w:rPr>
          <w:rFonts w:cs="B Nazanin"/>
          <w:sz w:val="28"/>
          <w:szCs w:val="28"/>
        </w:rPr>
      </w:pPr>
    </w:p>
    <w:p w14:paraId="7A6A18A6" w14:textId="77777777" w:rsidR="00AD00BF" w:rsidRDefault="00AD00BF">
      <w:pPr>
        <w:bidi/>
        <w:jc w:val="both"/>
        <w:rPr>
          <w:rFonts w:cs="B Nazanin"/>
          <w:sz w:val="28"/>
          <w:szCs w:val="28"/>
        </w:rPr>
      </w:pPr>
    </w:p>
    <w:p w14:paraId="5340998E" w14:textId="77777777" w:rsidR="00AD00BF" w:rsidRDefault="00AD00BF">
      <w:pPr>
        <w:bidi/>
        <w:jc w:val="both"/>
        <w:rPr>
          <w:rFonts w:cs="B Nazanin"/>
          <w:sz w:val="28"/>
          <w:szCs w:val="28"/>
        </w:rPr>
      </w:pPr>
    </w:p>
    <w:p w14:paraId="704FC329" w14:textId="77777777" w:rsidR="00AD00BF" w:rsidRDefault="00AD00BF">
      <w:pPr>
        <w:bidi/>
        <w:jc w:val="both"/>
        <w:rPr>
          <w:rFonts w:cs="B Nazanin"/>
          <w:sz w:val="28"/>
          <w:szCs w:val="28"/>
        </w:rPr>
      </w:pPr>
    </w:p>
    <w:p w14:paraId="3EFEEF49" w14:textId="77777777" w:rsidR="00AD00BF" w:rsidRDefault="00000000">
      <w:pPr>
        <w:bidi/>
        <w:jc w:val="both"/>
      </w:pPr>
      <w:r>
        <w:rPr>
          <w:rFonts w:cs="B Nazanin"/>
          <w:color w:val="EE0000"/>
          <w:sz w:val="28"/>
          <w:szCs w:val="28"/>
          <w:rtl/>
        </w:rPr>
        <w:t xml:space="preserve">کلمات کلیدی:  </w:t>
      </w:r>
      <w:r>
        <w:rPr>
          <w:rFonts w:cs="B Nazanin"/>
          <w:sz w:val="28"/>
          <w:szCs w:val="28"/>
          <w:rtl/>
        </w:rPr>
        <w:t>ضمان ید، مسولیت کیفری، پلتفرمهای غیر متمرکز</w:t>
      </w:r>
    </w:p>
    <w:p w14:paraId="552E92DE" w14:textId="77777777" w:rsidR="00AD00BF" w:rsidRDefault="00AD00BF">
      <w:pPr>
        <w:bidi/>
        <w:jc w:val="both"/>
        <w:rPr>
          <w:rFonts w:cs="B Nazanin"/>
          <w:sz w:val="28"/>
          <w:szCs w:val="28"/>
        </w:rPr>
      </w:pPr>
    </w:p>
    <w:p w14:paraId="76C53632" w14:textId="77777777" w:rsidR="00AD00BF" w:rsidRDefault="00000000">
      <w:pPr>
        <w:bidi/>
        <w:jc w:val="both"/>
      </w:pPr>
      <w:r>
        <w:rPr>
          <w:rFonts w:cs="B Nazanin"/>
          <w:color w:val="EE0000"/>
          <w:sz w:val="28"/>
          <w:szCs w:val="28"/>
          <w:rtl/>
        </w:rPr>
        <w:t>بخش اول: تحلیل فقهی قاعده «ضمان ید»</w:t>
      </w:r>
    </w:p>
    <w:p w14:paraId="06BD1D6B" w14:textId="77777777" w:rsidR="00AD00BF" w:rsidRDefault="00000000">
      <w:pPr>
        <w:bidi/>
        <w:jc w:val="both"/>
      </w:pPr>
      <w:r>
        <w:rPr>
          <w:rFonts w:cs="B Nazanin"/>
          <w:color w:val="EE0000"/>
          <w:sz w:val="28"/>
          <w:szCs w:val="28"/>
          <w:rtl/>
          <w:lang w:bidi="fa-IR"/>
        </w:rPr>
        <w:t>۱. واکاوی ادله قاعده در منابع معتبر فقهی</w:t>
      </w:r>
    </w:p>
    <w:p w14:paraId="201E5216" w14:textId="77777777" w:rsidR="00AD00BF" w:rsidRDefault="00000000">
      <w:pPr>
        <w:bidi/>
        <w:jc w:val="both"/>
      </w:pPr>
      <w:r>
        <w:rPr>
          <w:rFonts w:cs="B Nazanin"/>
          <w:sz w:val="28"/>
          <w:szCs w:val="28"/>
          <w:rtl/>
        </w:rPr>
        <w:lastRenderedPageBreak/>
        <w:t xml:space="preserve">یکی از قواعد مشهور فقهی، قاعده ضمان ید است. به عقیده فقها، مقتضای اولیه تصرف و استیلا بر مال دیگری این است که متصرف در مقابل مالک، ضامن است. یعنی علاوه بر آن که مکلف به بازگرداندن عین در زمان بقای آن است، اگر مال مذکور تلف شود یا نقص و خسارتی بر آن وارد گردد، باید از عهده خسارت وارد نیز برآید. این موضوع، قاعده ضمان ید متصرف در فقه به صورت یک قاعده کلی درآمده و کلیت آن در روایات شامل تمام انواع تصرف و وضع ید می‌شود خواه عدوانی باشد و خواه غیرعدوانی یا امانی. البته مواردی تحت عنوان ید امانی به موجب ادله خاص از تحت عموم این قاعده خارج گردیده‌اند.  </w:t>
      </w:r>
    </w:p>
    <w:p w14:paraId="463FE305" w14:textId="77777777" w:rsidR="00AD00BF" w:rsidRDefault="00000000">
      <w:pPr>
        <w:bidi/>
        <w:jc w:val="both"/>
      </w:pPr>
      <w:r>
        <w:rPr>
          <w:rFonts w:cs="B Nazanin"/>
          <w:sz w:val="28"/>
          <w:szCs w:val="28"/>
          <w:rtl/>
        </w:rPr>
        <w:t xml:space="preserve">(محقق داماد، قواعد فقه، ص. </w:t>
      </w:r>
      <w:r>
        <w:rPr>
          <w:rFonts w:cs="B Nazanin"/>
          <w:sz w:val="28"/>
          <w:szCs w:val="28"/>
          <w:rtl/>
          <w:lang w:bidi="fa-IR"/>
        </w:rPr>
        <w:t>۱۲۳)</w:t>
      </w:r>
    </w:p>
    <w:p w14:paraId="1BF5062B" w14:textId="77777777" w:rsidR="00AD00BF" w:rsidRDefault="00000000">
      <w:pPr>
        <w:bidi/>
        <w:jc w:val="both"/>
      </w:pPr>
      <w:r>
        <w:rPr>
          <w:rFonts w:cs="B Nazanin"/>
          <w:color w:val="EE0000"/>
          <w:sz w:val="28"/>
          <w:szCs w:val="28"/>
          <w:rtl/>
          <w:lang w:bidi="fa-IR"/>
        </w:rPr>
        <w:t>۲. مستندات قاعده</w:t>
      </w:r>
    </w:p>
    <w:p w14:paraId="21FA60D0" w14:textId="77777777" w:rsidR="00AD00BF" w:rsidRDefault="00000000">
      <w:pPr>
        <w:bidi/>
        <w:jc w:val="both"/>
      </w:pPr>
      <w:r>
        <w:rPr>
          <w:rFonts w:cs="B Nazanin"/>
          <w:sz w:val="28"/>
          <w:szCs w:val="28"/>
          <w:rtl/>
        </w:rPr>
        <w:t xml:space="preserve">الف) بنای عقلا  </w:t>
      </w:r>
    </w:p>
    <w:p w14:paraId="1D60C017" w14:textId="77777777" w:rsidR="00AD00BF" w:rsidRDefault="00000000">
      <w:pPr>
        <w:bidi/>
        <w:jc w:val="both"/>
      </w:pPr>
      <w:r>
        <w:rPr>
          <w:rFonts w:cs="B Nazanin"/>
          <w:sz w:val="28"/>
          <w:szCs w:val="28"/>
          <w:rtl/>
        </w:rPr>
        <w:t>بنای عقلا نشان می‌دهد که شخصی که مال دیگری را تصرف می‌کند در مقابل مالک مسئول است. شرع مقدس این شیوه خردمندانه را نه تنها رد نکرده بلکه تأیید کرده است. بنابراین می‌توان گفت این قاعده از قواعد امضایی شرع است.  موسوی بجنوردی، القواعد الفقهیه، ج</w:t>
      </w:r>
      <w:r>
        <w:rPr>
          <w:rFonts w:cs="B Nazanin"/>
          <w:sz w:val="28"/>
          <w:szCs w:val="28"/>
          <w:rtl/>
          <w:lang w:bidi="fa-IR"/>
        </w:rPr>
        <w:t>۱</w:t>
      </w:r>
      <w:r>
        <w:rPr>
          <w:rFonts w:cs="B Nazanin"/>
          <w:sz w:val="28"/>
          <w:szCs w:val="28"/>
          <w:rtl/>
        </w:rPr>
        <w:t xml:space="preserve">، ص. </w:t>
      </w:r>
      <w:r>
        <w:rPr>
          <w:rFonts w:cs="B Nazanin"/>
          <w:sz w:val="28"/>
          <w:szCs w:val="28"/>
          <w:rtl/>
          <w:lang w:bidi="fa-IR"/>
        </w:rPr>
        <w:t>۱۷۸)</w:t>
      </w:r>
    </w:p>
    <w:p w14:paraId="23B5F27F" w14:textId="77777777" w:rsidR="00AD00BF" w:rsidRDefault="00000000">
      <w:pPr>
        <w:bidi/>
        <w:jc w:val="both"/>
      </w:pPr>
      <w:r>
        <w:rPr>
          <w:rFonts w:cs="B Nazanin"/>
          <w:sz w:val="28"/>
          <w:szCs w:val="28"/>
          <w:rtl/>
        </w:rPr>
        <w:t xml:space="preserve">ب) سیره  </w:t>
      </w:r>
    </w:p>
    <w:p w14:paraId="1624B833" w14:textId="77777777" w:rsidR="00AD00BF" w:rsidRDefault="00000000">
      <w:pPr>
        <w:bidi/>
        <w:jc w:val="both"/>
      </w:pPr>
      <w:r>
        <w:rPr>
          <w:rFonts w:cs="B Nazanin"/>
          <w:sz w:val="28"/>
          <w:szCs w:val="28"/>
          <w:rtl/>
        </w:rPr>
        <w:t>سیره مستمر مسلمانان در طول تاریخ نشان می‌دهد که قاعده ضمان ید همواره مورد پذیرش بوده و به صورت یک قاعده فقهی مسلم درآمده است.  ابن ادریس حلی، السرائر، ج</w:t>
      </w:r>
      <w:r>
        <w:rPr>
          <w:rFonts w:cs="B Nazanin"/>
          <w:sz w:val="28"/>
          <w:szCs w:val="28"/>
          <w:rtl/>
          <w:lang w:bidi="fa-IR"/>
        </w:rPr>
        <w:t>۲</w:t>
      </w:r>
      <w:r>
        <w:rPr>
          <w:rFonts w:cs="B Nazanin"/>
          <w:sz w:val="28"/>
          <w:szCs w:val="28"/>
          <w:rtl/>
        </w:rPr>
        <w:t xml:space="preserve">، ص. </w:t>
      </w:r>
      <w:r>
        <w:rPr>
          <w:rFonts w:cs="B Nazanin"/>
          <w:sz w:val="28"/>
          <w:szCs w:val="28"/>
          <w:rtl/>
          <w:lang w:bidi="fa-IR"/>
        </w:rPr>
        <w:t>۲۳۴)</w:t>
      </w:r>
    </w:p>
    <w:p w14:paraId="19BB29A3" w14:textId="77777777" w:rsidR="00AD00BF" w:rsidRDefault="00000000">
      <w:pPr>
        <w:bidi/>
        <w:jc w:val="both"/>
      </w:pPr>
      <w:r>
        <w:rPr>
          <w:rFonts w:cs="B Nazanin"/>
          <w:sz w:val="28"/>
          <w:szCs w:val="28"/>
          <w:rtl/>
        </w:rPr>
        <w:t xml:space="preserve">ج) روایات  </w:t>
      </w:r>
    </w:p>
    <w:p w14:paraId="3C391307" w14:textId="77777777" w:rsidR="00AD00BF" w:rsidRDefault="00000000">
      <w:pPr>
        <w:bidi/>
        <w:jc w:val="both"/>
      </w:pPr>
      <w:r>
        <w:rPr>
          <w:rFonts w:cs="B Nazanin"/>
          <w:sz w:val="28"/>
          <w:szCs w:val="28"/>
          <w:rtl/>
        </w:rPr>
        <w:t>حدیث «علی الید ما أخذت حتی تؤدیه» مستند اصلی قاعده ضمان ید است. با وجود ضعف سند، شهرت فتوایی موجب پذیرش آن شده است.  شیخ انصاری، مکاسب، ج</w:t>
      </w:r>
      <w:r>
        <w:rPr>
          <w:rFonts w:cs="B Nazanin"/>
          <w:sz w:val="28"/>
          <w:szCs w:val="28"/>
          <w:rtl/>
          <w:lang w:bidi="fa-IR"/>
        </w:rPr>
        <w:t>۱</w:t>
      </w:r>
      <w:r>
        <w:rPr>
          <w:rFonts w:cs="B Nazanin"/>
          <w:sz w:val="28"/>
          <w:szCs w:val="28"/>
          <w:rtl/>
        </w:rPr>
        <w:t xml:space="preserve">، ص. </w:t>
      </w:r>
      <w:r>
        <w:rPr>
          <w:rFonts w:cs="B Nazanin"/>
          <w:sz w:val="28"/>
          <w:szCs w:val="28"/>
          <w:rtl/>
          <w:lang w:bidi="fa-IR"/>
        </w:rPr>
        <w:t xml:space="preserve">۲۸۱)  </w:t>
      </w:r>
      <w:r>
        <w:rPr>
          <w:rFonts w:cs="B Nazanin"/>
          <w:sz w:val="28"/>
          <w:szCs w:val="28"/>
          <w:rtl/>
        </w:rPr>
        <w:t>موسوی بجنوردی، القواعد الفقهیه، ج</w:t>
      </w:r>
      <w:r>
        <w:rPr>
          <w:rFonts w:cs="B Nazanin"/>
          <w:sz w:val="28"/>
          <w:szCs w:val="28"/>
          <w:rtl/>
          <w:lang w:bidi="fa-IR"/>
        </w:rPr>
        <w:t>۱</w:t>
      </w:r>
      <w:r>
        <w:rPr>
          <w:rFonts w:cs="B Nazanin"/>
          <w:sz w:val="28"/>
          <w:szCs w:val="28"/>
          <w:rtl/>
        </w:rPr>
        <w:t xml:space="preserve">، ص. </w:t>
      </w:r>
      <w:r>
        <w:rPr>
          <w:rFonts w:cs="B Nazanin"/>
          <w:sz w:val="28"/>
          <w:szCs w:val="28"/>
          <w:rtl/>
          <w:lang w:bidi="fa-IR"/>
        </w:rPr>
        <w:t>۱۷۸)</w:t>
      </w:r>
    </w:p>
    <w:p w14:paraId="749BD1F3" w14:textId="77777777" w:rsidR="00AD00BF" w:rsidRDefault="00000000">
      <w:pPr>
        <w:bidi/>
        <w:jc w:val="both"/>
      </w:pPr>
      <w:r>
        <w:rPr>
          <w:rFonts w:cs="B Nazanin"/>
          <w:sz w:val="28"/>
          <w:szCs w:val="28"/>
          <w:rtl/>
        </w:rPr>
        <w:t xml:space="preserve">از دیدگاه فقهی، قاعده ضمان ید بر مسئولیت ناشی از تصرف غیرمجاز در مال غیر دلالت دارد. از دیدگاه حقوق جزا، ماده </w:t>
      </w:r>
      <w:r>
        <w:rPr>
          <w:rFonts w:cs="B Nazanin"/>
          <w:sz w:val="28"/>
          <w:szCs w:val="28"/>
          <w:rtl/>
          <w:lang w:bidi="fa-IR"/>
        </w:rPr>
        <w:t>۱۲</w:t>
      </w:r>
      <w:r>
        <w:rPr>
          <w:rFonts w:cs="B Nazanin"/>
          <w:sz w:val="28"/>
          <w:szCs w:val="28"/>
          <w:rtl/>
        </w:rPr>
        <w:t xml:space="preserve"> همین روح را به سطح مسئولیت کیفری جمعی یا سازمانی بسط می‌دهد. همان‌گونه که در فقه، «ید غیرمأذون» ضامن است، در حقوق جزا نیز «شخص حقوقی متصرف یا بهره‌بردار غیرقانونی» مسئول شناخته می‌شود. بنابراین، قاعده ضمان ید در حوزه کیفری به‌صورت غیرمستقیم مبنای جبران خسارت و ضمانت اجرای کیفری ناشی از تصرف عدوانی یا استفاده غیرقانونی از حقوق دیگران می‌گردد.  </w:t>
      </w:r>
    </w:p>
    <w:p w14:paraId="18D25263" w14:textId="77777777" w:rsidR="00AD00BF" w:rsidRDefault="00000000">
      <w:pPr>
        <w:bidi/>
        <w:jc w:val="both"/>
      </w:pPr>
      <w:r>
        <w:rPr>
          <w:rFonts w:cs="B Nazanin"/>
          <w:sz w:val="28"/>
          <w:szCs w:val="28"/>
          <w:rtl/>
        </w:rPr>
        <w:t>(امام خمینی، تحریر الوسیله، ج</w:t>
      </w:r>
      <w:r>
        <w:rPr>
          <w:rFonts w:cs="B Nazanin"/>
          <w:sz w:val="28"/>
          <w:szCs w:val="28"/>
          <w:rtl/>
          <w:lang w:bidi="fa-IR"/>
        </w:rPr>
        <w:t>۲</w:t>
      </w:r>
      <w:r>
        <w:rPr>
          <w:rFonts w:cs="B Nazanin"/>
          <w:sz w:val="28"/>
          <w:szCs w:val="28"/>
          <w:rtl/>
        </w:rPr>
        <w:t xml:space="preserve">، ص. </w:t>
      </w:r>
      <w:r>
        <w:rPr>
          <w:rFonts w:cs="B Nazanin"/>
          <w:sz w:val="28"/>
          <w:szCs w:val="28"/>
          <w:rtl/>
          <w:lang w:bidi="fa-IR"/>
        </w:rPr>
        <w:t xml:space="preserve">۱۷۷)  </w:t>
      </w:r>
      <w:r>
        <w:rPr>
          <w:rFonts w:cs="B Nazanin"/>
          <w:sz w:val="28"/>
          <w:szCs w:val="28"/>
          <w:rtl/>
        </w:rPr>
        <w:t>صاحب جواهر، جواهر الکلام، ج</w:t>
      </w:r>
      <w:r>
        <w:rPr>
          <w:rFonts w:cs="B Nazanin"/>
          <w:sz w:val="28"/>
          <w:szCs w:val="28"/>
          <w:rtl/>
          <w:lang w:bidi="fa-IR"/>
        </w:rPr>
        <w:t>۳۷</w:t>
      </w:r>
      <w:r>
        <w:rPr>
          <w:rFonts w:cs="B Nazanin"/>
          <w:sz w:val="28"/>
          <w:szCs w:val="28"/>
          <w:rtl/>
        </w:rPr>
        <w:t xml:space="preserve">، ص. </w:t>
      </w:r>
      <w:r>
        <w:rPr>
          <w:rFonts w:cs="B Nazanin"/>
          <w:sz w:val="28"/>
          <w:szCs w:val="28"/>
          <w:rtl/>
          <w:lang w:bidi="fa-IR"/>
        </w:rPr>
        <w:t xml:space="preserve">۱۲)  </w:t>
      </w:r>
    </w:p>
    <w:p w14:paraId="57AF6439" w14:textId="77777777" w:rsidR="00AD00BF" w:rsidRDefault="00000000">
      <w:pPr>
        <w:bidi/>
        <w:jc w:val="both"/>
      </w:pPr>
      <w:r>
        <w:rPr>
          <w:rFonts w:cs="B Nazanin"/>
          <w:color w:val="EE0000"/>
          <w:sz w:val="28"/>
          <w:szCs w:val="28"/>
        </w:rPr>
        <w:lastRenderedPageBreak/>
        <w:t>3</w:t>
      </w:r>
      <w:r>
        <w:rPr>
          <w:rFonts w:cs="B Nazanin"/>
          <w:color w:val="EE0000"/>
          <w:sz w:val="28"/>
          <w:szCs w:val="28"/>
          <w:rtl/>
        </w:rPr>
        <w:t>.تحلیل مفاهیم «ید»، «أخذت» و «تؤدی»</w:t>
      </w:r>
    </w:p>
    <w:p w14:paraId="7EA4CAC0" w14:textId="77777777" w:rsidR="00AD00BF" w:rsidRDefault="00000000">
      <w:pPr>
        <w:bidi/>
        <w:jc w:val="both"/>
      </w:pPr>
      <w:r>
        <w:rPr>
          <w:rFonts w:cs="B Nazanin"/>
          <w:sz w:val="28"/>
          <w:szCs w:val="28"/>
          <w:rtl/>
        </w:rPr>
        <w:t xml:space="preserve">- ید در لغت به معنای دست است، اما در عرف فقهی و حقوقی کنایه از قدرت و سلطه بر مال می‌باشد. فقهای امامیه ملاک صدق «ید» را عرفی بودن استیلا بدون اذن مالک یا شارع دانسته‌اند.  </w:t>
      </w:r>
    </w:p>
    <w:p w14:paraId="1303251C" w14:textId="77777777" w:rsidR="00AD00BF" w:rsidRDefault="00000000">
      <w:pPr>
        <w:bidi/>
        <w:jc w:val="both"/>
      </w:pPr>
      <w:r>
        <w:rPr>
          <w:rFonts w:cs="B Nazanin"/>
          <w:sz w:val="28"/>
          <w:szCs w:val="28"/>
          <w:rtl/>
        </w:rPr>
        <w:t>(شیخ انصاری، مکاسب، ج</w:t>
      </w:r>
      <w:r>
        <w:rPr>
          <w:rFonts w:cs="B Nazanin"/>
          <w:sz w:val="28"/>
          <w:szCs w:val="28"/>
          <w:rtl/>
          <w:lang w:bidi="fa-IR"/>
        </w:rPr>
        <w:t>۱</w:t>
      </w:r>
      <w:r>
        <w:rPr>
          <w:rFonts w:cs="B Nazanin"/>
          <w:sz w:val="28"/>
          <w:szCs w:val="28"/>
          <w:rtl/>
        </w:rPr>
        <w:t xml:space="preserve">، ص. </w:t>
      </w:r>
      <w:r>
        <w:rPr>
          <w:rFonts w:cs="B Nazanin"/>
          <w:sz w:val="28"/>
          <w:szCs w:val="28"/>
          <w:rtl/>
          <w:lang w:bidi="fa-IR"/>
        </w:rPr>
        <w:t>۲۲۸</w:t>
      </w:r>
      <w:r>
        <w:rPr>
          <w:rFonts w:cs="B Nazanin"/>
          <w:sz w:val="28"/>
          <w:szCs w:val="28"/>
          <w:rtl/>
        </w:rPr>
        <w:t>؛ امام خمینی، تحریر الوسیله؛ صاحب جواهر، ج</w:t>
      </w:r>
      <w:r>
        <w:rPr>
          <w:rFonts w:cs="B Nazanin"/>
          <w:sz w:val="28"/>
          <w:szCs w:val="28"/>
          <w:rtl/>
          <w:lang w:bidi="fa-IR"/>
        </w:rPr>
        <w:t>۳۷</w:t>
      </w:r>
      <w:r>
        <w:rPr>
          <w:rFonts w:cs="B Nazanin"/>
          <w:sz w:val="28"/>
          <w:szCs w:val="28"/>
          <w:rtl/>
        </w:rPr>
        <w:t xml:space="preserve">، ص. </w:t>
      </w:r>
      <w:r>
        <w:rPr>
          <w:rFonts w:cs="B Nazanin"/>
          <w:sz w:val="28"/>
          <w:szCs w:val="28"/>
          <w:rtl/>
          <w:lang w:bidi="fa-IR"/>
        </w:rPr>
        <w:t xml:space="preserve">۱۲)  </w:t>
      </w:r>
    </w:p>
    <w:p w14:paraId="7AB3524C" w14:textId="77777777" w:rsidR="00AD00BF" w:rsidRDefault="00000000">
      <w:pPr>
        <w:bidi/>
        <w:jc w:val="both"/>
      </w:pPr>
      <w:r>
        <w:rPr>
          <w:rFonts w:cs="B Nazanin"/>
          <w:sz w:val="28"/>
          <w:szCs w:val="28"/>
          <w:rtl/>
        </w:rPr>
        <w:t>- أخذت در لغت به معنای گرفتن و قبض کردن است. فقها آن را به معنای تسلط واقعی بر مال غیر دانسته‌اند، نه صرف لمس یا تماس.  شیخ انصاری، مکاسب، ج</w:t>
      </w:r>
      <w:r>
        <w:rPr>
          <w:rFonts w:cs="B Nazanin"/>
          <w:sz w:val="28"/>
          <w:szCs w:val="28"/>
          <w:rtl/>
          <w:lang w:bidi="fa-IR"/>
        </w:rPr>
        <w:t>۱</w:t>
      </w:r>
      <w:r>
        <w:rPr>
          <w:rFonts w:cs="B Nazanin"/>
          <w:sz w:val="28"/>
          <w:szCs w:val="28"/>
          <w:rtl/>
        </w:rPr>
        <w:t xml:space="preserve">، ص. </w:t>
      </w:r>
      <w:r>
        <w:rPr>
          <w:rFonts w:cs="B Nazanin"/>
          <w:sz w:val="28"/>
          <w:szCs w:val="28"/>
          <w:rtl/>
          <w:lang w:bidi="fa-IR"/>
        </w:rPr>
        <w:t>۲۴۹</w:t>
      </w:r>
      <w:r>
        <w:rPr>
          <w:rFonts w:cs="B Nazanin"/>
          <w:sz w:val="28"/>
          <w:szCs w:val="28"/>
          <w:rtl/>
        </w:rPr>
        <w:t xml:space="preserve">؛ نراقی، عوائد، عائده </w:t>
      </w:r>
      <w:r>
        <w:rPr>
          <w:rFonts w:cs="B Nazanin"/>
          <w:sz w:val="28"/>
          <w:szCs w:val="28"/>
          <w:rtl/>
          <w:lang w:bidi="fa-IR"/>
        </w:rPr>
        <w:t>۷۳</w:t>
      </w:r>
      <w:r>
        <w:rPr>
          <w:rFonts w:cs="B Nazanin"/>
          <w:sz w:val="28"/>
          <w:szCs w:val="28"/>
          <w:rtl/>
        </w:rPr>
        <w:t>؛ فاضل هندی، کشف اللثام، ج</w:t>
      </w:r>
      <w:r>
        <w:rPr>
          <w:rFonts w:cs="B Nazanin"/>
          <w:sz w:val="28"/>
          <w:szCs w:val="28"/>
          <w:rtl/>
          <w:lang w:bidi="fa-IR"/>
        </w:rPr>
        <w:t>۲</w:t>
      </w:r>
      <w:r>
        <w:rPr>
          <w:rFonts w:cs="B Nazanin"/>
          <w:sz w:val="28"/>
          <w:szCs w:val="28"/>
          <w:rtl/>
        </w:rPr>
        <w:t xml:space="preserve">، ص. </w:t>
      </w:r>
      <w:r>
        <w:rPr>
          <w:rFonts w:cs="B Nazanin"/>
          <w:sz w:val="28"/>
          <w:szCs w:val="28"/>
          <w:rtl/>
          <w:lang w:bidi="fa-IR"/>
        </w:rPr>
        <w:t xml:space="preserve">۸۳۳)  </w:t>
      </w:r>
    </w:p>
    <w:p w14:paraId="4C69377A" w14:textId="77777777" w:rsidR="00AD00BF" w:rsidRDefault="00000000">
      <w:pPr>
        <w:bidi/>
        <w:jc w:val="both"/>
      </w:pPr>
      <w:r>
        <w:rPr>
          <w:rFonts w:cs="B Nazanin"/>
          <w:sz w:val="28"/>
          <w:szCs w:val="28"/>
          <w:rtl/>
        </w:rPr>
        <w:t xml:space="preserve">- تؤدی از ریشه «أداء» به معنای بازگرداندن یا پرداخت است. فقهای متأخر مانند خویی و امام خمینی آن را غایت ضمان و تکلیف هر دو دانسته‌اند؛ یعنی ضمان باقی است تا وقتی که رد واقعی انجام نشده باشد.  </w:t>
      </w:r>
    </w:p>
    <w:p w14:paraId="7B82258C" w14:textId="77777777" w:rsidR="00AD00BF" w:rsidRDefault="00000000">
      <w:pPr>
        <w:bidi/>
        <w:jc w:val="both"/>
      </w:pPr>
      <w:r>
        <w:rPr>
          <w:rFonts w:cs="B Nazanin"/>
          <w:sz w:val="28"/>
          <w:szCs w:val="28"/>
          <w:rtl/>
        </w:rPr>
        <w:t>(شیخ انصاری، مکاسب، ج</w:t>
      </w:r>
      <w:r>
        <w:rPr>
          <w:rFonts w:cs="B Nazanin"/>
          <w:sz w:val="28"/>
          <w:szCs w:val="28"/>
          <w:rtl/>
          <w:lang w:bidi="fa-IR"/>
        </w:rPr>
        <w:t>۱</w:t>
      </w:r>
      <w:r>
        <w:rPr>
          <w:rFonts w:cs="B Nazanin"/>
          <w:sz w:val="28"/>
          <w:szCs w:val="28"/>
          <w:rtl/>
        </w:rPr>
        <w:t xml:space="preserve">، ص. </w:t>
      </w:r>
      <w:r>
        <w:rPr>
          <w:rFonts w:cs="B Nazanin"/>
          <w:sz w:val="28"/>
          <w:szCs w:val="28"/>
          <w:rtl/>
          <w:lang w:bidi="fa-IR"/>
        </w:rPr>
        <w:t>۲۸۱</w:t>
      </w:r>
      <w:r>
        <w:rPr>
          <w:rFonts w:cs="B Nazanin"/>
          <w:sz w:val="28"/>
          <w:szCs w:val="28"/>
          <w:rtl/>
        </w:rPr>
        <w:t xml:space="preserve">؛ محقق نراقی، عوائد، عائده </w:t>
      </w:r>
      <w:r>
        <w:rPr>
          <w:rFonts w:cs="B Nazanin"/>
          <w:sz w:val="28"/>
          <w:szCs w:val="28"/>
          <w:rtl/>
          <w:lang w:bidi="fa-IR"/>
        </w:rPr>
        <w:t>۷۴</w:t>
      </w:r>
      <w:r>
        <w:rPr>
          <w:rFonts w:cs="B Nazanin"/>
          <w:sz w:val="28"/>
          <w:szCs w:val="28"/>
          <w:rtl/>
        </w:rPr>
        <w:t>؛ آیت‌الله خویی، مصباح الفقاهة، ج</w:t>
      </w:r>
      <w:r>
        <w:rPr>
          <w:rFonts w:cs="B Nazanin"/>
          <w:sz w:val="28"/>
          <w:szCs w:val="28"/>
          <w:rtl/>
          <w:lang w:bidi="fa-IR"/>
        </w:rPr>
        <w:t>۲</w:t>
      </w:r>
      <w:r>
        <w:rPr>
          <w:rFonts w:cs="B Nazanin"/>
          <w:sz w:val="28"/>
          <w:szCs w:val="28"/>
          <w:rtl/>
        </w:rPr>
        <w:t xml:space="preserve">، ص. </w:t>
      </w:r>
      <w:r>
        <w:rPr>
          <w:rFonts w:cs="B Nazanin"/>
          <w:sz w:val="28"/>
          <w:szCs w:val="28"/>
          <w:rtl/>
          <w:lang w:bidi="fa-IR"/>
        </w:rPr>
        <w:t xml:space="preserve">۲۳۳)  </w:t>
      </w:r>
    </w:p>
    <w:p w14:paraId="4AE77115" w14:textId="77777777" w:rsidR="00AD00BF" w:rsidRDefault="00000000">
      <w:pPr>
        <w:bidi/>
        <w:jc w:val="both"/>
      </w:pPr>
      <w:r>
        <w:rPr>
          <w:rFonts w:cs="B Nazanin"/>
          <w:color w:val="EE0000"/>
          <w:sz w:val="28"/>
          <w:szCs w:val="28"/>
          <w:rtl/>
        </w:rPr>
        <w:t>بخش دوم: بررسی تطبیقی دیدگاه‌های فقها در شمول قاعده بر متصرفان غیرمستقیم</w:t>
      </w:r>
    </w:p>
    <w:p w14:paraId="2BEA0AF9" w14:textId="77777777" w:rsidR="00AD00BF" w:rsidRDefault="00000000">
      <w:pPr>
        <w:bidi/>
        <w:jc w:val="both"/>
      </w:pPr>
      <w:r>
        <w:rPr>
          <w:rFonts w:cs="B Nazanin"/>
          <w:color w:val="EE0000"/>
          <w:sz w:val="28"/>
          <w:szCs w:val="28"/>
        </w:rPr>
        <w:t>1</w:t>
      </w:r>
      <w:r>
        <w:rPr>
          <w:rFonts w:cs="B Nazanin"/>
          <w:color w:val="EE0000"/>
          <w:sz w:val="28"/>
          <w:szCs w:val="28"/>
          <w:rtl/>
        </w:rPr>
        <w:t>.شمول قاعده نسبت به متصرفان غیرمستقیم</w:t>
      </w:r>
    </w:p>
    <w:p w14:paraId="4CB3ABDA" w14:textId="77777777" w:rsidR="00AD00BF" w:rsidRDefault="00000000">
      <w:pPr>
        <w:bidi/>
        <w:jc w:val="both"/>
      </w:pPr>
      <w:r>
        <w:rPr>
          <w:rFonts w:cs="B Nazanin"/>
          <w:sz w:val="28"/>
          <w:szCs w:val="28"/>
          <w:rtl/>
        </w:rPr>
        <w:t xml:space="preserve">- دیدگاه اول: قاعده مطلق است؛ هر کس به نحوی استیلا بر مال پیدا کند، مشمول است مگر مأذون باشد.  </w:t>
      </w:r>
    </w:p>
    <w:p w14:paraId="23D4A948" w14:textId="77777777" w:rsidR="00AD00BF" w:rsidRDefault="00000000">
      <w:pPr>
        <w:bidi/>
        <w:jc w:val="both"/>
      </w:pPr>
      <w:r>
        <w:rPr>
          <w:rFonts w:cs="B Nazanin"/>
          <w:sz w:val="28"/>
          <w:szCs w:val="28"/>
          <w:rtl/>
        </w:rPr>
        <w:t xml:space="preserve">(شیخ انصاری، مکاسب؛ صاحب جواهر؛ امام خمینی، تحریر الوسیله)  </w:t>
      </w:r>
    </w:p>
    <w:p w14:paraId="306EF5E4" w14:textId="77777777" w:rsidR="00AD00BF" w:rsidRDefault="00000000">
      <w:pPr>
        <w:bidi/>
        <w:jc w:val="both"/>
      </w:pPr>
      <w:r>
        <w:rPr>
          <w:rFonts w:cs="B Nazanin"/>
          <w:sz w:val="28"/>
          <w:szCs w:val="28"/>
          <w:rtl/>
        </w:rPr>
        <w:t xml:space="preserve">- دیدگاه دوم: قاعده شامل کسانی که با اذن مالک یا شارع تصرف می‌کنند (امین، وکیل، مستعیر) نیست و ضمان فقط در صورت تعدی یا تفریط است.  </w:t>
      </w:r>
    </w:p>
    <w:p w14:paraId="2BDBF14A" w14:textId="77777777" w:rsidR="00AD00BF" w:rsidRDefault="00000000">
      <w:pPr>
        <w:bidi/>
        <w:jc w:val="both"/>
      </w:pPr>
      <w:r>
        <w:rPr>
          <w:rFonts w:cs="B Nazanin"/>
          <w:sz w:val="28"/>
          <w:szCs w:val="28"/>
          <w:rtl/>
        </w:rPr>
        <w:t>(محقق حلی، المعتبر، ج</w:t>
      </w:r>
      <w:r>
        <w:rPr>
          <w:rFonts w:cs="B Nazanin"/>
          <w:sz w:val="28"/>
          <w:szCs w:val="28"/>
          <w:rtl/>
          <w:lang w:bidi="fa-IR"/>
        </w:rPr>
        <w:t>۲</w:t>
      </w:r>
      <w:r>
        <w:rPr>
          <w:rFonts w:cs="B Nazanin"/>
          <w:sz w:val="28"/>
          <w:szCs w:val="28"/>
          <w:rtl/>
        </w:rPr>
        <w:t xml:space="preserve">، ص. </w:t>
      </w:r>
      <w:r>
        <w:rPr>
          <w:rFonts w:cs="B Nazanin"/>
          <w:sz w:val="28"/>
          <w:szCs w:val="28"/>
          <w:rtl/>
          <w:lang w:bidi="fa-IR"/>
        </w:rPr>
        <w:t>۲۸۷</w:t>
      </w:r>
      <w:r>
        <w:rPr>
          <w:rFonts w:cs="B Nazanin"/>
          <w:sz w:val="28"/>
          <w:szCs w:val="28"/>
          <w:rtl/>
        </w:rPr>
        <w:t>؛ علامه حلی، تذکره الفقهاء، ج</w:t>
      </w:r>
      <w:r>
        <w:rPr>
          <w:rFonts w:cs="B Nazanin"/>
          <w:sz w:val="28"/>
          <w:szCs w:val="28"/>
          <w:rtl/>
          <w:lang w:bidi="fa-IR"/>
        </w:rPr>
        <w:t>۱۴</w:t>
      </w:r>
      <w:r>
        <w:rPr>
          <w:rFonts w:cs="B Nazanin"/>
          <w:sz w:val="28"/>
          <w:szCs w:val="28"/>
          <w:rtl/>
        </w:rPr>
        <w:t xml:space="preserve">، ص. </w:t>
      </w:r>
      <w:r>
        <w:rPr>
          <w:rFonts w:cs="B Nazanin"/>
          <w:sz w:val="28"/>
          <w:szCs w:val="28"/>
          <w:rtl/>
          <w:lang w:bidi="fa-IR"/>
        </w:rPr>
        <w:t>۱۲۲</w:t>
      </w:r>
      <w:r>
        <w:rPr>
          <w:rFonts w:cs="B Nazanin"/>
          <w:sz w:val="28"/>
          <w:szCs w:val="28"/>
          <w:rtl/>
        </w:rPr>
        <w:t>؛ آیت‌الله خویی، مصباح الفقاهة، ج</w:t>
      </w:r>
      <w:r>
        <w:rPr>
          <w:rFonts w:cs="B Nazanin"/>
          <w:sz w:val="28"/>
          <w:szCs w:val="28"/>
          <w:rtl/>
          <w:lang w:bidi="fa-IR"/>
        </w:rPr>
        <w:t>۲</w:t>
      </w:r>
      <w:r>
        <w:rPr>
          <w:rFonts w:cs="B Nazanin"/>
          <w:sz w:val="28"/>
          <w:szCs w:val="28"/>
          <w:rtl/>
        </w:rPr>
        <w:t xml:space="preserve">، ص. </w:t>
      </w:r>
      <w:r>
        <w:rPr>
          <w:rFonts w:cs="B Nazanin"/>
          <w:sz w:val="28"/>
          <w:szCs w:val="28"/>
          <w:rtl/>
          <w:lang w:bidi="fa-IR"/>
        </w:rPr>
        <w:t xml:space="preserve">۲۳۳)  </w:t>
      </w:r>
    </w:p>
    <w:p w14:paraId="2FC465F9" w14:textId="77777777" w:rsidR="00AD00BF" w:rsidRDefault="00000000">
      <w:pPr>
        <w:bidi/>
        <w:jc w:val="both"/>
      </w:pPr>
      <w:r>
        <w:rPr>
          <w:rFonts w:cs="B Nazanin"/>
          <w:sz w:val="28"/>
          <w:szCs w:val="28"/>
          <w:rtl/>
        </w:rPr>
        <w:t xml:space="preserve">- دیدگاه سوم: تفصیل میان ید مباشر و ید تبعی؛ ید مباشر موجب ضمان است، ولی ید تبعی تنها در صورت تفریط ضامن است.  </w:t>
      </w:r>
    </w:p>
    <w:p w14:paraId="1C88BCE1" w14:textId="77777777" w:rsidR="00AD00BF" w:rsidRDefault="00000000">
      <w:pPr>
        <w:bidi/>
        <w:jc w:val="both"/>
      </w:pPr>
      <w:r>
        <w:rPr>
          <w:rFonts w:cs="B Nazanin"/>
          <w:sz w:val="28"/>
          <w:szCs w:val="28"/>
          <w:rtl/>
        </w:rPr>
        <w:t xml:space="preserve">(محقق نراقی، عوائد؛ سید یزدی، العروة الوثقى)  </w:t>
      </w:r>
    </w:p>
    <w:p w14:paraId="44C2B8CA" w14:textId="77777777" w:rsidR="00AD00BF" w:rsidRDefault="00000000">
      <w:pPr>
        <w:bidi/>
        <w:jc w:val="both"/>
      </w:pPr>
      <w:r>
        <w:rPr>
          <w:rFonts w:cs="B Nazanin"/>
          <w:sz w:val="28"/>
          <w:szCs w:val="28"/>
          <w:rtl/>
        </w:rPr>
        <w:t xml:space="preserve">- دیدگاه چهارم: شمول در صورت تعدی از حدود اذن؛ اگر مأذون از حدود اذن تجاوز کند، یدش از مأذونه به عدوانی تبدیل می‌شود و قاعده جاری می‌گردد.  </w:t>
      </w:r>
    </w:p>
    <w:p w14:paraId="7D37E7EF" w14:textId="77777777" w:rsidR="00AD00BF" w:rsidRDefault="00000000">
      <w:pPr>
        <w:bidi/>
        <w:jc w:val="both"/>
      </w:pPr>
      <w:r>
        <w:rPr>
          <w:rFonts w:cs="B Nazanin"/>
          <w:sz w:val="28"/>
          <w:szCs w:val="28"/>
          <w:rtl/>
        </w:rPr>
        <w:lastRenderedPageBreak/>
        <w:t>(شیخ انصاری، مکاسب؛ آیت‌الله خویی، مصباح الفقاهة؛ امام خمینی، تحریر الوسیله)  ید ضمانی و ید امانی</w:t>
      </w:r>
    </w:p>
    <w:p w14:paraId="64C9B1C2" w14:textId="77777777" w:rsidR="00AD00BF" w:rsidRDefault="00000000">
      <w:pPr>
        <w:bidi/>
        <w:jc w:val="both"/>
      </w:pPr>
      <w:r>
        <w:rPr>
          <w:rFonts w:cs="B Nazanin"/>
          <w:sz w:val="28"/>
          <w:szCs w:val="28"/>
          <w:rtl/>
        </w:rPr>
        <w:t xml:space="preserve">در تقسیم اول، ید به دو دسته «ید ضمانی» و «ید امانی» تقسیم می‌شود. ید ضمانی شامل ید عدوانی و غیرعدوانی است. توضیح آنکه وقتی کسی مالی را به عقد فاسد قبض می‌کند، ضامن است و ید او ضمانی محسوب می‌شود، ولی غاصب نیست. در مقابل، ید عدوانی علاوه بر مسئولیت مدنی، مسئولیت کیفری نیز دارد. فقها مواردی را که به علت فقدان عنصر عدوان از مصادیق غصب محسوب نمی‌شود نیز از نظر ضمان، ملحق به غصب کرده‌اند. قانون مدنی ایران نیز در ماده </w:t>
      </w:r>
      <w:r>
        <w:rPr>
          <w:rFonts w:cs="B Nazanin"/>
          <w:sz w:val="28"/>
          <w:szCs w:val="28"/>
          <w:rtl/>
          <w:lang w:bidi="fa-IR"/>
        </w:rPr>
        <w:t>۳۰۸</w:t>
      </w:r>
      <w:r>
        <w:rPr>
          <w:rFonts w:cs="B Nazanin"/>
          <w:sz w:val="28"/>
          <w:szCs w:val="28"/>
          <w:rtl/>
        </w:rPr>
        <w:t xml:space="preserve"> چنین بیان کرده است که اثبات ید بر مال غیر بدون مجوز در حکم غصب است.  </w:t>
      </w:r>
    </w:p>
    <w:p w14:paraId="28B55C16" w14:textId="77777777" w:rsidR="00AD00BF" w:rsidRDefault="00000000">
      <w:pPr>
        <w:bidi/>
        <w:jc w:val="both"/>
      </w:pPr>
      <w:r>
        <w:rPr>
          <w:rFonts w:cs="B Nazanin"/>
          <w:sz w:val="28"/>
          <w:szCs w:val="28"/>
          <w:rtl/>
        </w:rPr>
        <w:t>(امام خمینی، تحریر الوسیله، ج</w:t>
      </w:r>
      <w:r>
        <w:rPr>
          <w:rFonts w:cs="B Nazanin"/>
          <w:sz w:val="28"/>
          <w:szCs w:val="28"/>
          <w:rtl/>
          <w:lang w:bidi="fa-IR"/>
        </w:rPr>
        <w:t>۲</w:t>
      </w:r>
      <w:r>
        <w:rPr>
          <w:rFonts w:cs="B Nazanin"/>
          <w:sz w:val="28"/>
          <w:szCs w:val="28"/>
          <w:rtl/>
        </w:rPr>
        <w:t xml:space="preserve">، ص. </w:t>
      </w:r>
      <w:r>
        <w:rPr>
          <w:rFonts w:cs="B Nazanin"/>
          <w:sz w:val="28"/>
          <w:szCs w:val="28"/>
          <w:rtl/>
          <w:lang w:bidi="fa-IR"/>
        </w:rPr>
        <w:t>۱۷۷</w:t>
      </w:r>
      <w:r>
        <w:rPr>
          <w:rFonts w:cs="B Nazanin"/>
          <w:sz w:val="28"/>
          <w:szCs w:val="28"/>
          <w:rtl/>
        </w:rPr>
        <w:t xml:space="preserve">؛ قانون مدنی ایران، ماده </w:t>
      </w:r>
      <w:r>
        <w:rPr>
          <w:rFonts w:cs="B Nazanin"/>
          <w:sz w:val="28"/>
          <w:szCs w:val="28"/>
          <w:rtl/>
          <w:lang w:bidi="fa-IR"/>
        </w:rPr>
        <w:t>۳۰۸)</w:t>
      </w:r>
    </w:p>
    <w:p w14:paraId="509A6E17" w14:textId="77777777" w:rsidR="00AD00BF" w:rsidRDefault="00000000">
      <w:pPr>
        <w:bidi/>
        <w:jc w:val="both"/>
      </w:pPr>
      <w:r>
        <w:rPr>
          <w:rFonts w:cs="B Nazanin"/>
          <w:color w:val="EE0000"/>
          <w:sz w:val="28"/>
          <w:szCs w:val="28"/>
        </w:rPr>
        <w:t>2</w:t>
      </w:r>
      <w:r>
        <w:rPr>
          <w:rFonts w:cs="B Nazanin"/>
          <w:color w:val="EE0000"/>
          <w:sz w:val="28"/>
          <w:szCs w:val="28"/>
          <w:rtl/>
        </w:rPr>
        <w:t>.تفاوت ضمان ید با غصب</w:t>
      </w:r>
    </w:p>
    <w:p w14:paraId="4F7E47BD" w14:textId="77777777" w:rsidR="00AD00BF" w:rsidRDefault="00000000">
      <w:pPr>
        <w:bidi/>
        <w:jc w:val="both"/>
      </w:pPr>
      <w:r>
        <w:rPr>
          <w:rFonts w:cs="B Nazanin"/>
          <w:sz w:val="28"/>
          <w:szCs w:val="28"/>
          <w:rtl/>
        </w:rPr>
        <w:t>در تعریف غصب گفته شده است: «غصب استیلا بر مال غیر است به نحو عدوان». بنابراین عنصر عدوان و عمد در غصب ملحوظ است. اما در ضمان ید، عنصر عمد و قهر شرط نیست؛ صرف استیلا بر مال غیر، حتی بدون قصد، موجب ضمان مدنی می‌شود. در نتیجه، ضمان ید قلمروی وسیع‌تر از غصب دارد و شامل ید عدوانی و غیرعدوانی می‌شود.  شهید ثانی، الروضه البهیه، ج</w:t>
      </w:r>
      <w:r>
        <w:rPr>
          <w:rFonts w:cs="B Nazanin"/>
          <w:sz w:val="28"/>
          <w:szCs w:val="28"/>
          <w:rtl/>
          <w:lang w:bidi="fa-IR"/>
        </w:rPr>
        <w:t>۲</w:t>
      </w:r>
      <w:r>
        <w:rPr>
          <w:rFonts w:cs="B Nazanin"/>
          <w:sz w:val="28"/>
          <w:szCs w:val="28"/>
          <w:rtl/>
        </w:rPr>
        <w:t xml:space="preserve">، ص. </w:t>
      </w:r>
      <w:r>
        <w:rPr>
          <w:rFonts w:cs="B Nazanin"/>
          <w:sz w:val="28"/>
          <w:szCs w:val="28"/>
          <w:rtl/>
          <w:lang w:bidi="fa-IR"/>
        </w:rPr>
        <w:t>۱۶۶</w:t>
      </w:r>
      <w:r>
        <w:rPr>
          <w:rFonts w:cs="B Nazanin"/>
          <w:sz w:val="28"/>
          <w:szCs w:val="28"/>
          <w:rtl/>
        </w:rPr>
        <w:t>؛ فخرالمحققین، ایضاح الفوائد، ج</w:t>
      </w:r>
      <w:r>
        <w:rPr>
          <w:rFonts w:cs="B Nazanin"/>
          <w:sz w:val="28"/>
          <w:szCs w:val="28"/>
          <w:rtl/>
          <w:lang w:bidi="fa-IR"/>
        </w:rPr>
        <w:t>۲</w:t>
      </w:r>
      <w:r>
        <w:rPr>
          <w:rFonts w:cs="B Nazanin"/>
          <w:sz w:val="28"/>
          <w:szCs w:val="28"/>
          <w:rtl/>
        </w:rPr>
        <w:t xml:space="preserve">، ص. </w:t>
      </w:r>
      <w:r>
        <w:rPr>
          <w:rFonts w:cs="B Nazanin"/>
          <w:sz w:val="28"/>
          <w:szCs w:val="28"/>
          <w:rtl/>
          <w:lang w:bidi="fa-IR"/>
        </w:rPr>
        <w:t>۱۶۶</w:t>
      </w:r>
      <w:r>
        <w:rPr>
          <w:rFonts w:cs="B Nazanin"/>
          <w:sz w:val="28"/>
          <w:szCs w:val="28"/>
          <w:rtl/>
        </w:rPr>
        <w:t>؛ جواهر الکلام، ج</w:t>
      </w:r>
      <w:r>
        <w:rPr>
          <w:rFonts w:cs="B Nazanin"/>
          <w:sz w:val="28"/>
          <w:szCs w:val="28"/>
          <w:rtl/>
          <w:lang w:bidi="fa-IR"/>
        </w:rPr>
        <w:t>۳۷</w:t>
      </w:r>
      <w:r>
        <w:rPr>
          <w:rFonts w:cs="B Nazanin"/>
          <w:sz w:val="28"/>
          <w:szCs w:val="28"/>
          <w:rtl/>
        </w:rPr>
        <w:t xml:space="preserve">؛ قانون مدنی ایران، ماده </w:t>
      </w:r>
      <w:r>
        <w:rPr>
          <w:rFonts w:cs="B Nazanin"/>
          <w:sz w:val="28"/>
          <w:szCs w:val="28"/>
          <w:rtl/>
          <w:lang w:bidi="fa-IR"/>
        </w:rPr>
        <w:t>۳۰۸)</w:t>
      </w:r>
    </w:p>
    <w:p w14:paraId="3A930044" w14:textId="77777777" w:rsidR="00AD00BF" w:rsidRDefault="00000000">
      <w:pPr>
        <w:bidi/>
        <w:jc w:val="both"/>
      </w:pPr>
      <w:r>
        <w:rPr>
          <w:rFonts w:cs="B Nazanin"/>
          <w:color w:val="EE0000"/>
          <w:sz w:val="28"/>
          <w:szCs w:val="28"/>
          <w:rtl/>
        </w:rPr>
        <w:t>بخش سوم. مسئولیت کیفری توسعه‌دهندگان پلتفرم‌های غیرمتمرکز</w:t>
      </w:r>
      <w:r>
        <w:rPr>
          <w:rFonts w:cs="B Nazanin"/>
          <w:sz w:val="28"/>
          <w:szCs w:val="28"/>
          <w:rtl/>
        </w:rPr>
        <w:t xml:space="preserve"> </w:t>
      </w:r>
    </w:p>
    <w:p w14:paraId="347E0C0B" w14:textId="77777777" w:rsidR="00AD00BF" w:rsidRDefault="00000000">
      <w:pPr>
        <w:bidi/>
        <w:jc w:val="both"/>
      </w:pPr>
      <w:r>
        <w:rPr>
          <w:rFonts w:cs="B Nazanin"/>
          <w:sz w:val="28"/>
          <w:szCs w:val="28"/>
          <w:rtl/>
        </w:rPr>
        <w:t xml:space="preserve">یک پلتفرم وام‌دهی غیرمتمرکز با استفاده از قرارداد هوشمند اقدام به جمع‌آوری سرمایه از کاربران می‌کند. به دلیل وجود باگ در کد قرارداد هوشمند، هکرها موفق به سرقت کلیه دارایی‌های موجود در پلتفرم می‌شوند. این سرقت منجر به ورود خسارت مالی کلان به بیش از </w:t>
      </w:r>
      <w:r>
        <w:rPr>
          <w:rFonts w:cs="B Nazanin"/>
          <w:sz w:val="28"/>
          <w:szCs w:val="28"/>
          <w:rtl/>
          <w:lang w:bidi="fa-IR"/>
        </w:rPr>
        <w:t>۱۰۰۰</w:t>
      </w:r>
      <w:r>
        <w:rPr>
          <w:rFonts w:cs="B Nazanin"/>
          <w:sz w:val="28"/>
          <w:szCs w:val="28"/>
          <w:rtl/>
        </w:rPr>
        <w:t xml:space="preserve"> کاربر شده و موجبات اختلال در نظام اقتصادی را فراهم می‌آورد.  </w:t>
      </w:r>
    </w:p>
    <w:p w14:paraId="62A0C594" w14:textId="77777777" w:rsidR="00AD00BF" w:rsidRDefault="00000000">
      <w:pPr>
        <w:bidi/>
        <w:jc w:val="both"/>
      </w:pPr>
      <w:r>
        <w:rPr>
          <w:rFonts w:cs="B Nazanin"/>
          <w:sz w:val="28"/>
          <w:szCs w:val="28"/>
          <w:rtl/>
        </w:rPr>
        <w:t xml:space="preserve">پرسش این است که آیا با استناد به قاعده «ضَمانِ یَد» می‌توان توسعه‌دهندگان اصلی پلتفرم را به عنوان متصرفان اولیه، مشمول مسئولیت کیفری برای جرایم ارتکابی دانست؟  </w:t>
      </w:r>
    </w:p>
    <w:p w14:paraId="4CC8B8D3" w14:textId="77777777" w:rsidR="00AD00BF" w:rsidRDefault="00000000">
      <w:pPr>
        <w:bidi/>
        <w:jc w:val="both"/>
      </w:pPr>
      <w:r>
        <w:rPr>
          <w:rFonts w:cs="B Nazanin"/>
          <w:sz w:val="28"/>
          <w:szCs w:val="28"/>
          <w:rtl/>
        </w:rPr>
        <w:t>بر اساس مبانی فقهی و حقوقی مطرح‌شده در مقاله  قاعده ضمان ید دلالت دارد بر اینکه هر کس بر مال دیگری استیلا یابد، ضامن است؛ خواه استیلا عدوانی باشد یا غیرعدوانی، مگر آنکه مأذون از سوی مالک یا شارع باشد.  (شیخ انصاری، المکاسب، ج</w:t>
      </w:r>
      <w:r>
        <w:rPr>
          <w:rFonts w:cs="B Nazanin"/>
          <w:sz w:val="28"/>
          <w:szCs w:val="28"/>
          <w:rtl/>
          <w:lang w:bidi="fa-IR"/>
        </w:rPr>
        <w:t>۱</w:t>
      </w:r>
      <w:r>
        <w:rPr>
          <w:rFonts w:cs="B Nazanin"/>
          <w:sz w:val="28"/>
          <w:szCs w:val="28"/>
          <w:rtl/>
        </w:rPr>
        <w:t xml:space="preserve">، ص. </w:t>
      </w:r>
      <w:r>
        <w:rPr>
          <w:rFonts w:cs="B Nazanin"/>
          <w:sz w:val="28"/>
          <w:szCs w:val="28"/>
          <w:rtl/>
          <w:lang w:bidi="fa-IR"/>
        </w:rPr>
        <w:t>۲۲۸</w:t>
      </w:r>
      <w:r>
        <w:rPr>
          <w:rFonts w:cs="B Nazanin"/>
          <w:sz w:val="28"/>
          <w:szCs w:val="28"/>
          <w:rtl/>
        </w:rPr>
        <w:t>؛ امام خمینی، تحریر الوسیله، ج</w:t>
      </w:r>
      <w:r>
        <w:rPr>
          <w:rFonts w:cs="B Nazanin"/>
          <w:sz w:val="28"/>
          <w:szCs w:val="28"/>
          <w:rtl/>
          <w:lang w:bidi="fa-IR"/>
        </w:rPr>
        <w:t>۲</w:t>
      </w:r>
      <w:r>
        <w:rPr>
          <w:rFonts w:cs="B Nazanin"/>
          <w:sz w:val="28"/>
          <w:szCs w:val="28"/>
          <w:rtl/>
        </w:rPr>
        <w:t xml:space="preserve">، ص. </w:t>
      </w:r>
      <w:r>
        <w:rPr>
          <w:rFonts w:cs="B Nazanin"/>
          <w:sz w:val="28"/>
          <w:szCs w:val="28"/>
          <w:rtl/>
          <w:lang w:bidi="fa-IR"/>
        </w:rPr>
        <w:t xml:space="preserve">۱۷۷)  </w:t>
      </w:r>
    </w:p>
    <w:p w14:paraId="4B674C5F" w14:textId="77777777" w:rsidR="00AD00BF" w:rsidRDefault="00000000">
      <w:pPr>
        <w:bidi/>
        <w:jc w:val="both"/>
      </w:pPr>
      <w:r>
        <w:rPr>
          <w:rFonts w:cs="B Nazanin"/>
          <w:sz w:val="28"/>
          <w:szCs w:val="28"/>
          <w:rtl/>
        </w:rPr>
        <w:t xml:space="preserve">- در فرض پلتفرم غیرمتمرکز، توسعه‌دهندگان اصلی با طراحی قرارداد هوشمند و ایجاد بستر جمع‌آوری سرمایه، در واقع نخستین متصرفان اعتباری اموال کاربران محسوب می‌شوند. هرچند تصرف آنان مستقیم و </w:t>
      </w:r>
      <w:r>
        <w:rPr>
          <w:rFonts w:cs="B Nazanin"/>
          <w:sz w:val="28"/>
          <w:szCs w:val="28"/>
          <w:rtl/>
        </w:rPr>
        <w:lastRenderedPageBreak/>
        <w:t>فیزیکی نیست، اما عرفاً ید اعتباری بر اموال کاربران دارند.  (صاحب جواهر، جواهر الکلام، ج</w:t>
      </w:r>
      <w:r>
        <w:rPr>
          <w:rFonts w:cs="B Nazanin"/>
          <w:sz w:val="28"/>
          <w:szCs w:val="28"/>
          <w:rtl/>
          <w:lang w:bidi="fa-IR"/>
        </w:rPr>
        <w:t>۳۷</w:t>
      </w:r>
      <w:r>
        <w:rPr>
          <w:rFonts w:cs="B Nazanin"/>
          <w:sz w:val="28"/>
          <w:szCs w:val="28"/>
          <w:rtl/>
        </w:rPr>
        <w:t xml:space="preserve">، ص. </w:t>
      </w:r>
      <w:r>
        <w:rPr>
          <w:rFonts w:cs="B Nazanin"/>
          <w:sz w:val="28"/>
          <w:szCs w:val="28"/>
          <w:rtl/>
          <w:lang w:bidi="fa-IR"/>
        </w:rPr>
        <w:t>۱۲</w:t>
      </w:r>
      <w:r>
        <w:rPr>
          <w:rFonts w:cs="B Nazanin"/>
          <w:sz w:val="28"/>
          <w:szCs w:val="28"/>
          <w:rtl/>
        </w:rPr>
        <w:t>؛ خویی، مصباح الفقاهة، ج</w:t>
      </w:r>
      <w:r>
        <w:rPr>
          <w:rFonts w:cs="B Nazanin"/>
          <w:sz w:val="28"/>
          <w:szCs w:val="28"/>
          <w:rtl/>
          <w:lang w:bidi="fa-IR"/>
        </w:rPr>
        <w:t>۲</w:t>
      </w:r>
      <w:r>
        <w:rPr>
          <w:rFonts w:cs="B Nazanin"/>
          <w:sz w:val="28"/>
          <w:szCs w:val="28"/>
          <w:rtl/>
        </w:rPr>
        <w:t xml:space="preserve">، ص. </w:t>
      </w:r>
      <w:r>
        <w:rPr>
          <w:rFonts w:cs="B Nazanin"/>
          <w:sz w:val="28"/>
          <w:szCs w:val="28"/>
          <w:rtl/>
          <w:lang w:bidi="fa-IR"/>
        </w:rPr>
        <w:t xml:space="preserve">۲۳۳)  </w:t>
      </w:r>
    </w:p>
    <w:p w14:paraId="54E9AA8F" w14:textId="77777777" w:rsidR="00AD00BF" w:rsidRDefault="00000000">
      <w:pPr>
        <w:bidi/>
        <w:jc w:val="both"/>
      </w:pPr>
      <w:r>
        <w:rPr>
          <w:rFonts w:cs="B Nazanin"/>
          <w:sz w:val="28"/>
          <w:szCs w:val="28"/>
          <w:rtl/>
        </w:rPr>
        <w:t xml:space="preserve">- باگ امنیتی در کد قرارداد هوشمند، اگر ناشی از تقصیر یا بی‌احتیاطی توسعه‌دهندگان باشد، موجب تبدیل ید مأذونه به ید عدوانی می‌شود؛ زیرا آنان از حدود اذن و اعتماد کاربران تجاوز کرده‌اند. در این حالت، ضمان ید شامل آنان می‌شود و علاوه بر مسئولیت مدنی، مسئولیت کیفری نیز متصور است.  (محقق نراقی، عوائد، عائده </w:t>
      </w:r>
      <w:r>
        <w:rPr>
          <w:rFonts w:cs="B Nazanin"/>
          <w:sz w:val="28"/>
          <w:szCs w:val="28"/>
          <w:rtl/>
          <w:lang w:bidi="fa-IR"/>
        </w:rPr>
        <w:t>۷۴</w:t>
      </w:r>
      <w:r>
        <w:rPr>
          <w:rFonts w:cs="B Nazanin"/>
          <w:sz w:val="28"/>
          <w:szCs w:val="28"/>
          <w:rtl/>
        </w:rPr>
        <w:t xml:space="preserve">؛ یزدی، العروة الوثقى)  </w:t>
      </w:r>
    </w:p>
    <w:p w14:paraId="234105D2" w14:textId="77777777" w:rsidR="00AD00BF" w:rsidRDefault="00000000">
      <w:pPr>
        <w:bidi/>
        <w:jc w:val="both"/>
      </w:pPr>
      <w:r>
        <w:rPr>
          <w:rFonts w:cs="B Nazanin"/>
          <w:sz w:val="28"/>
          <w:szCs w:val="28"/>
          <w:rtl/>
        </w:rPr>
        <w:t xml:space="preserve">- در نتیجه، اگر ثابت شود که توسعه‌دهندگان در طراحی و نگهداری قرارداد هوشمند مرتکب قصور یا تقصیر شده‌اند، می‌توان آنان را به عنوان متصرفان اولیه مشمول قاعده ضمان ید دانست. این امر زمینه‌ی مسئولیت کیفری آنان را در قبال جرایم ارتکابی (مانند سرقت دیجیتال و اخلال در نظام اقتصادی) فراهم می‌کند.  </w:t>
      </w:r>
    </w:p>
    <w:p w14:paraId="108902EA" w14:textId="77777777" w:rsidR="00AD00BF" w:rsidRDefault="00000000">
      <w:pPr>
        <w:bidi/>
        <w:jc w:val="both"/>
      </w:pPr>
      <w:r>
        <w:rPr>
          <w:rFonts w:cs="B Nazanin"/>
          <w:sz w:val="28"/>
          <w:szCs w:val="28"/>
          <w:rtl/>
        </w:rPr>
        <w:t xml:space="preserve">(قانون مدنی ایران، ماده </w:t>
      </w:r>
      <w:r>
        <w:rPr>
          <w:rFonts w:cs="B Nazanin"/>
          <w:sz w:val="28"/>
          <w:szCs w:val="28"/>
          <w:rtl/>
          <w:lang w:bidi="fa-IR"/>
        </w:rPr>
        <w:t>۳۰۸</w:t>
      </w:r>
      <w:r>
        <w:rPr>
          <w:rFonts w:cs="B Nazanin"/>
          <w:sz w:val="28"/>
          <w:szCs w:val="28"/>
          <w:rtl/>
        </w:rPr>
        <w:t>؛ شهید ثانی، الروضه البهیه، ج</w:t>
      </w:r>
      <w:r>
        <w:rPr>
          <w:rFonts w:cs="B Nazanin"/>
          <w:sz w:val="28"/>
          <w:szCs w:val="28"/>
          <w:rtl/>
          <w:lang w:bidi="fa-IR"/>
        </w:rPr>
        <w:t>۲</w:t>
      </w:r>
      <w:r>
        <w:rPr>
          <w:rFonts w:cs="B Nazanin"/>
          <w:sz w:val="28"/>
          <w:szCs w:val="28"/>
          <w:rtl/>
        </w:rPr>
        <w:t xml:space="preserve">، ص. </w:t>
      </w:r>
      <w:r>
        <w:rPr>
          <w:rFonts w:cs="B Nazanin"/>
          <w:sz w:val="28"/>
          <w:szCs w:val="28"/>
          <w:rtl/>
          <w:lang w:bidi="fa-IR"/>
        </w:rPr>
        <w:t xml:space="preserve">۱۶۶)  </w:t>
      </w:r>
    </w:p>
    <w:p w14:paraId="73417244" w14:textId="77777777" w:rsidR="00AD00BF" w:rsidRDefault="00000000">
      <w:pPr>
        <w:bidi/>
        <w:jc w:val="both"/>
      </w:pPr>
      <w:r>
        <w:rPr>
          <w:rFonts w:cs="B Nazanin"/>
          <w:color w:val="EE0000"/>
          <w:sz w:val="28"/>
          <w:szCs w:val="28"/>
          <w:rtl/>
          <w:lang w:bidi="fa-IR"/>
        </w:rPr>
        <w:t>بخش  چهارم ارائه راهکار و مدل اجرایی</w:t>
      </w:r>
    </w:p>
    <w:p w14:paraId="30C9A1CD" w14:textId="77777777" w:rsidR="00AD00BF" w:rsidRDefault="00000000">
      <w:pPr>
        <w:bidi/>
        <w:jc w:val="both"/>
      </w:pPr>
      <w:r>
        <w:rPr>
          <w:rFonts w:cs="B Nazanin"/>
          <w:color w:val="EE0000"/>
          <w:sz w:val="28"/>
          <w:szCs w:val="28"/>
          <w:rtl/>
          <w:lang w:bidi="fa-IR"/>
        </w:rPr>
        <w:t>۱. طراحی «مدل سلسله‌مراتبی مسئولیت کیفری»</w:t>
      </w:r>
    </w:p>
    <w:p w14:paraId="4250FC21" w14:textId="77777777" w:rsidR="00AD00BF" w:rsidRDefault="00000000">
      <w:pPr>
        <w:bidi/>
        <w:jc w:val="both"/>
      </w:pPr>
      <w:r>
        <w:rPr>
          <w:rFonts w:cs="B Nazanin"/>
          <w:sz w:val="28"/>
          <w:szCs w:val="28"/>
          <w:rtl/>
        </w:rPr>
        <w:t xml:space="preserve">با توجه به قاعده ضمان ید، مسئولیت کیفری در پلتفرم‌های غیرمتمرکز باید به‌صورت سلسله‌مراتبی تعریف شود:  </w:t>
      </w:r>
    </w:p>
    <w:p w14:paraId="37E562D8" w14:textId="77777777" w:rsidR="00AD00BF" w:rsidRDefault="00000000">
      <w:pPr>
        <w:bidi/>
        <w:jc w:val="both"/>
      </w:pPr>
      <w:r>
        <w:rPr>
          <w:rFonts w:cs="B Nazanin"/>
          <w:sz w:val="28"/>
          <w:szCs w:val="28"/>
          <w:rtl/>
        </w:rPr>
        <w:t xml:space="preserve">- سطح اول: توسعه‌دهندگان اصلی که قرارداد هوشمند را طراحی کرده‌اند و ید اعتباری اولیه بر اموال کاربران دارند.  </w:t>
      </w:r>
    </w:p>
    <w:p w14:paraId="760DBEAC" w14:textId="77777777" w:rsidR="00AD00BF" w:rsidRDefault="00000000">
      <w:pPr>
        <w:bidi/>
        <w:jc w:val="both"/>
      </w:pPr>
      <w:r>
        <w:rPr>
          <w:rFonts w:cs="B Nazanin"/>
          <w:sz w:val="28"/>
          <w:szCs w:val="28"/>
          <w:rtl/>
        </w:rPr>
        <w:t xml:space="preserve">- سطح دوم: مدیران یا تیم‌های نگهداری که مسئول امنیت و به‌روزرسانی کد هستند.  </w:t>
      </w:r>
    </w:p>
    <w:p w14:paraId="0858D442" w14:textId="77777777" w:rsidR="00AD00BF" w:rsidRDefault="00000000">
      <w:pPr>
        <w:bidi/>
        <w:jc w:val="both"/>
      </w:pPr>
      <w:r>
        <w:rPr>
          <w:rFonts w:cs="B Nazanin"/>
          <w:sz w:val="28"/>
          <w:szCs w:val="28"/>
          <w:rtl/>
        </w:rPr>
        <w:t xml:space="preserve">- سطح سوم: واسطه‌ها یا کارگزارانی که خدمات جانبی ارائه می‌دهند.  </w:t>
      </w:r>
    </w:p>
    <w:p w14:paraId="52D3A08C" w14:textId="77777777" w:rsidR="00AD00BF" w:rsidRDefault="00000000">
      <w:pPr>
        <w:bidi/>
        <w:jc w:val="both"/>
      </w:pPr>
      <w:r>
        <w:rPr>
          <w:rFonts w:cs="B Nazanin"/>
          <w:sz w:val="28"/>
          <w:szCs w:val="28"/>
          <w:rtl/>
        </w:rPr>
        <w:t xml:space="preserve">این مدل موجب می‌شود که در صورت وقوع خسارت، مسئولیت کیفری به تناسب نقش و میزان استیلا بر مال کاربران توزیع گردد.  (شیخ انصاری، المکاسب؛ امام خمینی، تحریر الوسیله)  </w:t>
      </w:r>
    </w:p>
    <w:p w14:paraId="1BC2FA05" w14:textId="77777777" w:rsidR="00AD00BF" w:rsidRDefault="00000000">
      <w:pPr>
        <w:bidi/>
        <w:jc w:val="both"/>
      </w:pPr>
      <w:r>
        <w:rPr>
          <w:rFonts w:cs="B Nazanin"/>
          <w:color w:val="EE0000"/>
          <w:sz w:val="28"/>
          <w:szCs w:val="28"/>
          <w:rtl/>
          <w:lang w:bidi="fa-IR"/>
        </w:rPr>
        <w:t>۲. ارائه «چارچوب نظارتی پیشگیرانه»</w:t>
      </w:r>
    </w:p>
    <w:p w14:paraId="21FE5F85" w14:textId="77777777" w:rsidR="00AD00BF" w:rsidRDefault="00000000">
      <w:pPr>
        <w:bidi/>
        <w:jc w:val="both"/>
      </w:pPr>
      <w:r>
        <w:rPr>
          <w:rFonts w:cs="B Nazanin"/>
          <w:sz w:val="28"/>
          <w:szCs w:val="28"/>
          <w:rtl/>
        </w:rPr>
        <w:t xml:space="preserve">برای جلوگیری از بروز خسارت‌های گسترده، لازم است چارچوبی نظارتی تدوین شود که شامل:  </w:t>
      </w:r>
    </w:p>
    <w:p w14:paraId="36A332A8" w14:textId="77777777" w:rsidR="00AD00BF" w:rsidRDefault="00000000">
      <w:pPr>
        <w:bidi/>
        <w:jc w:val="both"/>
      </w:pPr>
      <w:r>
        <w:rPr>
          <w:rFonts w:cs="B Nazanin"/>
          <w:sz w:val="28"/>
          <w:szCs w:val="28"/>
          <w:rtl/>
        </w:rPr>
        <w:t xml:space="preserve">- الزام به ممیزی امنیتی مستقل پیش از راه‌اندازی هر قرارداد هوشمند.  </w:t>
      </w:r>
    </w:p>
    <w:p w14:paraId="2DDB197E" w14:textId="77777777" w:rsidR="00AD00BF" w:rsidRDefault="00000000">
      <w:pPr>
        <w:bidi/>
        <w:jc w:val="both"/>
      </w:pPr>
      <w:r>
        <w:rPr>
          <w:rFonts w:cs="B Nazanin"/>
          <w:sz w:val="28"/>
          <w:szCs w:val="28"/>
          <w:rtl/>
        </w:rPr>
        <w:t xml:space="preserve">- ایجاد نهاد ناظر تخصصی در حوزه فناوری‌های مالی غیرمتمرکز.  </w:t>
      </w:r>
    </w:p>
    <w:p w14:paraId="496DD508" w14:textId="77777777" w:rsidR="00AD00BF" w:rsidRDefault="00000000">
      <w:pPr>
        <w:bidi/>
        <w:jc w:val="both"/>
      </w:pPr>
      <w:r>
        <w:rPr>
          <w:rFonts w:cs="B Nazanin"/>
          <w:sz w:val="28"/>
          <w:szCs w:val="28"/>
          <w:rtl/>
        </w:rPr>
        <w:lastRenderedPageBreak/>
        <w:t>- تدوین دستورالعمل‌های فقهی</w:t>
      </w:r>
      <w:r>
        <w:rPr>
          <w:rFonts w:ascii="Arial" w:hAnsi="Arial"/>
          <w:sz w:val="28"/>
          <w:szCs w:val="28"/>
          <w:rtl/>
        </w:rPr>
        <w:t>–</w:t>
      </w:r>
      <w:r>
        <w:rPr>
          <w:rFonts w:cs="B Nazanin"/>
          <w:sz w:val="28"/>
          <w:szCs w:val="28"/>
          <w:rtl/>
        </w:rPr>
        <w:t xml:space="preserve">حقوقی برای انطباق قراردادهای هوشمند با قواعد ضمان ید.  </w:t>
      </w:r>
    </w:p>
    <w:p w14:paraId="15928114" w14:textId="77777777" w:rsidR="00AD00BF" w:rsidRDefault="00000000">
      <w:pPr>
        <w:bidi/>
        <w:jc w:val="both"/>
      </w:pPr>
      <w:r>
        <w:rPr>
          <w:rFonts w:cs="B Nazanin"/>
          <w:sz w:val="28"/>
          <w:szCs w:val="28"/>
          <w:rtl/>
        </w:rPr>
        <w:t xml:space="preserve">این چارچوب نظارتی، نقش پیشگیرانه دارد و مانع از تبدیل ید مأذونه به ید عدوانی می‌شود.  </w:t>
      </w:r>
    </w:p>
    <w:p w14:paraId="306EA8B2" w14:textId="77777777" w:rsidR="00AD00BF" w:rsidRDefault="00000000">
      <w:pPr>
        <w:bidi/>
        <w:jc w:val="both"/>
      </w:pPr>
      <w:r>
        <w:rPr>
          <w:rFonts w:cs="B Nazanin"/>
          <w:sz w:val="28"/>
          <w:szCs w:val="28"/>
          <w:rtl/>
        </w:rPr>
        <w:t xml:space="preserve">(محقق داماد، قواعد فقه؛ موسوی بجنوردی، القواعد الفقهیه)  </w:t>
      </w:r>
    </w:p>
    <w:p w14:paraId="204A72A2" w14:textId="77777777" w:rsidR="00AD00BF" w:rsidRDefault="00000000">
      <w:pPr>
        <w:bidi/>
        <w:jc w:val="both"/>
      </w:pPr>
      <w:r>
        <w:rPr>
          <w:rFonts w:cs="B Nazanin"/>
          <w:color w:val="EE0000"/>
          <w:sz w:val="28"/>
          <w:szCs w:val="28"/>
          <w:rtl/>
          <w:lang w:bidi="fa-IR"/>
        </w:rPr>
        <w:t>۳. پیشنهاد «سامانه پایش هوشمند»</w:t>
      </w:r>
    </w:p>
    <w:p w14:paraId="631C6CA4" w14:textId="77777777" w:rsidR="00AD00BF" w:rsidRDefault="00000000">
      <w:pPr>
        <w:bidi/>
        <w:jc w:val="both"/>
      </w:pPr>
      <w:r>
        <w:rPr>
          <w:rFonts w:cs="B Nazanin"/>
          <w:sz w:val="28"/>
          <w:szCs w:val="28"/>
          <w:rtl/>
        </w:rPr>
        <w:t xml:space="preserve">ایجاد سامانه‌ای مبتنی بر هوش مصنوعی برای پایش مستمر قراردادهای هوشمند و تراکنش‌های مالی:  </w:t>
      </w:r>
    </w:p>
    <w:p w14:paraId="5480CDD5" w14:textId="77777777" w:rsidR="00AD00BF" w:rsidRDefault="00000000">
      <w:pPr>
        <w:bidi/>
        <w:jc w:val="both"/>
      </w:pPr>
      <w:r>
        <w:rPr>
          <w:rFonts w:cs="B Nazanin"/>
          <w:sz w:val="28"/>
          <w:szCs w:val="28"/>
          <w:rtl/>
        </w:rPr>
        <w:t xml:space="preserve">- شناسایی سریع باگ‌ها و حفره‌های امنیتی.  </w:t>
      </w:r>
    </w:p>
    <w:p w14:paraId="6C6540B0" w14:textId="77777777" w:rsidR="00AD00BF" w:rsidRDefault="00000000">
      <w:pPr>
        <w:bidi/>
        <w:jc w:val="both"/>
      </w:pPr>
      <w:r>
        <w:rPr>
          <w:rFonts w:cs="B Nazanin"/>
          <w:sz w:val="28"/>
          <w:szCs w:val="28"/>
          <w:rtl/>
        </w:rPr>
        <w:t xml:space="preserve">- هشدار فوری به کاربران و توسعه‌دهندگان در صورت بروز خطر.  </w:t>
      </w:r>
    </w:p>
    <w:p w14:paraId="036F97C0" w14:textId="77777777" w:rsidR="00AD00BF" w:rsidRDefault="00000000">
      <w:pPr>
        <w:bidi/>
        <w:jc w:val="both"/>
      </w:pPr>
      <w:r>
        <w:rPr>
          <w:rFonts w:cs="B Nazanin"/>
          <w:sz w:val="28"/>
          <w:szCs w:val="28"/>
          <w:rtl/>
        </w:rPr>
        <w:t xml:space="preserve">- ثبت و مستندسازی تمامی وقایع برای استفاده در رسیدگی‌های قضایی.  </w:t>
      </w:r>
    </w:p>
    <w:p w14:paraId="6B1D654F" w14:textId="77777777" w:rsidR="00AD00BF" w:rsidRDefault="00000000">
      <w:pPr>
        <w:bidi/>
        <w:jc w:val="both"/>
      </w:pPr>
      <w:r>
        <w:rPr>
          <w:rFonts w:cs="B Nazanin"/>
          <w:sz w:val="28"/>
          <w:szCs w:val="28"/>
          <w:rtl/>
        </w:rPr>
        <w:t xml:space="preserve">این سامانه می‌تواند به‌عنوان ابزار اجرایی برای تحقق ضمان ید در فضای دیجیتال عمل کند.  </w:t>
      </w:r>
    </w:p>
    <w:p w14:paraId="61C46941" w14:textId="77777777" w:rsidR="00AD00BF" w:rsidRDefault="00000000">
      <w:pPr>
        <w:bidi/>
        <w:jc w:val="both"/>
      </w:pPr>
      <w:r>
        <w:rPr>
          <w:rFonts w:cs="B Nazanin"/>
          <w:sz w:val="28"/>
          <w:szCs w:val="28"/>
          <w:rtl/>
        </w:rPr>
        <w:t xml:space="preserve">(طباطبایی یزدی، حاشیه بر مکاسب؛ قانون مدنی ایران، ماده </w:t>
      </w:r>
      <w:r>
        <w:rPr>
          <w:rFonts w:cs="B Nazanin"/>
          <w:sz w:val="28"/>
          <w:szCs w:val="28"/>
          <w:rtl/>
          <w:lang w:bidi="fa-IR"/>
        </w:rPr>
        <w:t xml:space="preserve">۳۰۸)  </w:t>
      </w:r>
    </w:p>
    <w:p w14:paraId="4706CFA2" w14:textId="77777777" w:rsidR="00AD00BF" w:rsidRDefault="00000000">
      <w:pPr>
        <w:bidi/>
        <w:jc w:val="both"/>
      </w:pPr>
      <w:r>
        <w:rPr>
          <w:rFonts w:cs="B Nazanin"/>
          <w:color w:val="EE0000"/>
          <w:sz w:val="28"/>
          <w:szCs w:val="28"/>
          <w:rtl/>
          <w:lang w:bidi="fa-IR"/>
        </w:rPr>
        <w:t>۴. تدوین «الگوی تقنینی»</w:t>
      </w:r>
    </w:p>
    <w:p w14:paraId="6B585EB4" w14:textId="77777777" w:rsidR="00AD00BF" w:rsidRDefault="00000000">
      <w:pPr>
        <w:bidi/>
        <w:jc w:val="both"/>
      </w:pPr>
      <w:r>
        <w:rPr>
          <w:rFonts w:cs="B Nazanin"/>
          <w:sz w:val="28"/>
          <w:szCs w:val="28"/>
          <w:rtl/>
        </w:rPr>
        <w:t xml:space="preserve">برای انطباق قواعد سنتی با نیازهای نوین، لازم است الگوی تقنینی ویژه‌ای تدوین شود:  </w:t>
      </w:r>
    </w:p>
    <w:p w14:paraId="38360BF6" w14:textId="77777777" w:rsidR="00AD00BF" w:rsidRDefault="00000000">
      <w:pPr>
        <w:bidi/>
        <w:jc w:val="both"/>
      </w:pPr>
      <w:r>
        <w:rPr>
          <w:rFonts w:cs="B Nazanin"/>
          <w:sz w:val="28"/>
          <w:szCs w:val="28"/>
          <w:rtl/>
        </w:rPr>
        <w:t xml:space="preserve">- تعریف قانونی «ید اعتباری» در فضای دیجیتال.  </w:t>
      </w:r>
    </w:p>
    <w:p w14:paraId="0C75BDDA" w14:textId="77777777" w:rsidR="00AD00BF" w:rsidRDefault="00000000">
      <w:pPr>
        <w:bidi/>
        <w:jc w:val="both"/>
      </w:pPr>
      <w:r>
        <w:rPr>
          <w:rFonts w:cs="B Nazanin"/>
          <w:sz w:val="28"/>
          <w:szCs w:val="28"/>
          <w:rtl/>
        </w:rPr>
        <w:t xml:space="preserve">- تعیین مسئولیت کیفری توسعه‌دهندگان و مدیران پلتفرم‌ها در صورت قصور یا تقصیر.  </w:t>
      </w:r>
    </w:p>
    <w:p w14:paraId="1C0113BD" w14:textId="77777777" w:rsidR="00AD00BF" w:rsidRDefault="00000000">
      <w:pPr>
        <w:bidi/>
        <w:jc w:val="both"/>
      </w:pPr>
      <w:r>
        <w:rPr>
          <w:rFonts w:cs="B Nazanin"/>
          <w:sz w:val="28"/>
          <w:szCs w:val="28"/>
          <w:rtl/>
        </w:rPr>
        <w:t xml:space="preserve">- پیش‌بینی ضمانت اجراهای کیفری و مدنی متناسب با حجم خسارت و تعداد زیان‌دیدگان.  </w:t>
      </w:r>
    </w:p>
    <w:p w14:paraId="705EEE55" w14:textId="77777777" w:rsidR="00AD00BF" w:rsidRDefault="00000000">
      <w:pPr>
        <w:bidi/>
        <w:jc w:val="both"/>
      </w:pPr>
      <w:r>
        <w:rPr>
          <w:rFonts w:cs="B Nazanin"/>
          <w:sz w:val="28"/>
          <w:szCs w:val="28"/>
          <w:rtl/>
        </w:rPr>
        <w:t xml:space="preserve">این الگو موجب می‌شود که قواعد فقهی مانند ضمان ید به‌صورت شفاف در نظام حقوقی مدرن پیاده‌سازی شوند.  </w:t>
      </w:r>
    </w:p>
    <w:p w14:paraId="04EA2752" w14:textId="77777777" w:rsidR="00AD00BF" w:rsidRDefault="00000000">
      <w:pPr>
        <w:bidi/>
        <w:jc w:val="both"/>
        <w:rPr>
          <w:rFonts w:cs="B Nazanin"/>
          <w:sz w:val="28"/>
          <w:szCs w:val="28"/>
        </w:rPr>
      </w:pPr>
      <w:r>
        <w:rPr>
          <w:rFonts w:cs="B Nazanin"/>
          <w:sz w:val="28"/>
          <w:szCs w:val="28"/>
          <w:rtl/>
        </w:rPr>
        <w:t xml:space="preserve">(شهید ثانی، الروضه البهیه؛ صاحب جواهر، جواهر الکلام)   </w:t>
      </w:r>
    </w:p>
    <w:p w14:paraId="25F332C2" w14:textId="77777777" w:rsidR="00AD00BF" w:rsidRDefault="00000000">
      <w:pPr>
        <w:bidi/>
        <w:jc w:val="both"/>
        <w:rPr>
          <w:rFonts w:cs="B Nazanin"/>
          <w:color w:val="EE0000"/>
          <w:sz w:val="28"/>
          <w:szCs w:val="28"/>
        </w:rPr>
      </w:pPr>
      <w:r>
        <w:rPr>
          <w:rFonts w:cs="B Nazanin"/>
          <w:color w:val="EE0000"/>
          <w:sz w:val="28"/>
          <w:szCs w:val="28"/>
          <w:rtl/>
        </w:rPr>
        <w:t xml:space="preserve">نتیجه‌گیری </w:t>
      </w:r>
    </w:p>
    <w:p w14:paraId="7DEEF844" w14:textId="77777777" w:rsidR="00AD00BF" w:rsidRDefault="00000000">
      <w:pPr>
        <w:bidi/>
        <w:jc w:val="both"/>
      </w:pPr>
      <w:r>
        <w:rPr>
          <w:rFonts w:cs="B Nazanin"/>
          <w:color w:val="000000"/>
          <w:sz w:val="28"/>
          <w:szCs w:val="28"/>
          <w:rtl/>
        </w:rPr>
        <w:t xml:space="preserve">بررسی فقهی و حقوقی قاعده ضمان ید نشان داد که این قاعده یکی از مبانی بنیادین در فقه امامیه و حقوق مدنی ایران است که بر مسئولیت ناشی از هرگونه استیلا بر مال غیر دلالت دارد. این مسئولیت، اعم از ید عدوانی و ید غیرعدوانی، حتی بدون وجود عنصر عمد یا تقصیر، موجب ضمان مدنی می‌شود و در صورت احراز عدوان یا قصور، به مسئولیت کیفری نیز گسترش می‌یابد.  </w:t>
      </w:r>
    </w:p>
    <w:p w14:paraId="53B746F5" w14:textId="77777777" w:rsidR="00AD00BF" w:rsidRDefault="00000000">
      <w:pPr>
        <w:bidi/>
        <w:jc w:val="both"/>
      </w:pPr>
      <w:r>
        <w:rPr>
          <w:rFonts w:cs="B Nazanin"/>
          <w:color w:val="000000"/>
          <w:sz w:val="28"/>
          <w:szCs w:val="28"/>
          <w:rtl/>
        </w:rPr>
        <w:lastRenderedPageBreak/>
        <w:t xml:space="preserve">در حوزه‌ی نوین فناوری‌های مالی غیرمتمرکز، توسعه‌دهندگان پلتفرم‌های وام‌دهی غیرمتمرکز با طراحی قراردادهای هوشمند، ید اعتباری اولیه بر اموال کاربران دارند. در صورت بروز باگ امنیتی و سرقت دارایی‌ها، اگر قصور یا تقصیر آنان اثبات شود، ید مأذونه به ید عدوانی تبدیل شده و آنان مشمول قاعده ضمان ید خواهند بود. این امر زمینه‌ی مسئولیت کیفری آنان را در قبال جرایم ارتکابی فراهم می‌سازد و نشان می‌دهد که قواعد سنتی فقهی قابلیت انطباق با مسائل نوین اقتصادی و دیجیتال را دارند.  </w:t>
      </w:r>
    </w:p>
    <w:p w14:paraId="392A0164" w14:textId="77777777" w:rsidR="00AD00BF" w:rsidRDefault="00000000">
      <w:pPr>
        <w:bidi/>
        <w:jc w:val="both"/>
      </w:pPr>
      <w:r>
        <w:rPr>
          <w:rFonts w:cs="B Nazanin"/>
          <w:color w:val="000000"/>
          <w:sz w:val="28"/>
          <w:szCs w:val="28"/>
          <w:rtl/>
        </w:rPr>
        <w:t xml:space="preserve">افزون بر تحلیل نظری، ارائه راهکارهای اجرایی نیز ضروری است. طراحی مدل سلسله‌مراتبی مسئولیت کیفری، تدوین چارچوب نظارتی پیشگیرانه، ایجاد سامانه پایش هوشمند و تنظیم الگوی تقنینی می‌تواند به‌عنوان ابزارهای عملی برای تحقق ضمان ید در فضای دیجیتال عمل کند. این راهکارها نه تنها موجب پیشگیری از خسارت‌های گسترده می‌شوند، بلکه امکان پاسخگویی کیفری و مدنی متناسب با نقش و میزان استیلا بر اموال کاربران را فراهم می‌آورند.  </w:t>
      </w:r>
    </w:p>
    <w:p w14:paraId="1B8431BF" w14:textId="77777777" w:rsidR="00AD00BF" w:rsidRDefault="00000000">
      <w:pPr>
        <w:bidi/>
        <w:jc w:val="both"/>
      </w:pPr>
      <w:r>
        <w:rPr>
          <w:rFonts w:cs="B Nazanin"/>
          <w:color w:val="000000"/>
          <w:sz w:val="28"/>
          <w:szCs w:val="28"/>
          <w:rtl/>
        </w:rPr>
        <w:t xml:space="preserve">در نهایت، قاعده ضمان ید پلی میان فقه سنتی و حقوق مدرن ایجاد می‌کند و می‌تواند مبنای نظری و عملی برای تنظیم مسئولیت کیفری در پلتفرم‌های غیرمتمرکز باشد. بدین ترتیب، نظام حقوقی با بهره‌گیری از این قاعده قادر خواهد بود هم از حقوق کاربران حمایت کند و هم نظم اقتصادی را در برابر تهدیدهای ناشی از فناوری‌های نوین حفظ نماید.  </w:t>
      </w:r>
    </w:p>
    <w:p w14:paraId="39752CC0" w14:textId="77777777" w:rsidR="00AD00BF" w:rsidRDefault="00AD00BF">
      <w:pPr>
        <w:bidi/>
        <w:jc w:val="both"/>
        <w:rPr>
          <w:rFonts w:cs="B Nazanin"/>
          <w:color w:val="000000"/>
          <w:sz w:val="28"/>
          <w:szCs w:val="28"/>
        </w:rPr>
      </w:pPr>
    </w:p>
    <w:p w14:paraId="5F429CB6" w14:textId="77777777" w:rsidR="00AD00BF" w:rsidRDefault="00AD00BF">
      <w:pPr>
        <w:bidi/>
        <w:jc w:val="both"/>
        <w:rPr>
          <w:rFonts w:cs="B Nazanin"/>
          <w:color w:val="000000"/>
          <w:sz w:val="28"/>
          <w:szCs w:val="28"/>
        </w:rPr>
      </w:pPr>
    </w:p>
    <w:p w14:paraId="1982DF97" w14:textId="77777777" w:rsidR="00AD00BF" w:rsidRDefault="00AD00BF">
      <w:pPr>
        <w:bidi/>
        <w:jc w:val="both"/>
        <w:rPr>
          <w:rFonts w:cs="B Nazanin"/>
          <w:color w:val="000000"/>
          <w:sz w:val="28"/>
          <w:szCs w:val="28"/>
        </w:rPr>
      </w:pPr>
    </w:p>
    <w:p w14:paraId="4CC865CB" w14:textId="77777777" w:rsidR="00AD00BF" w:rsidRDefault="00AD00BF">
      <w:pPr>
        <w:bidi/>
        <w:jc w:val="both"/>
        <w:rPr>
          <w:rFonts w:cs="B Nazanin"/>
          <w:color w:val="000000"/>
          <w:sz w:val="28"/>
          <w:szCs w:val="28"/>
        </w:rPr>
      </w:pPr>
    </w:p>
    <w:p w14:paraId="3EF5F097" w14:textId="77777777" w:rsidR="00AD00BF" w:rsidRDefault="00AD00BF">
      <w:pPr>
        <w:bidi/>
        <w:jc w:val="both"/>
        <w:rPr>
          <w:rFonts w:cs="B Nazanin"/>
          <w:color w:val="000000"/>
          <w:sz w:val="28"/>
          <w:szCs w:val="28"/>
        </w:rPr>
      </w:pPr>
    </w:p>
    <w:p w14:paraId="7C1BB482" w14:textId="77777777" w:rsidR="00AD00BF" w:rsidRDefault="00AD00BF">
      <w:pPr>
        <w:bidi/>
        <w:jc w:val="both"/>
        <w:rPr>
          <w:rFonts w:cs="B Nazanin"/>
          <w:color w:val="000000"/>
          <w:sz w:val="28"/>
          <w:szCs w:val="28"/>
        </w:rPr>
      </w:pPr>
    </w:p>
    <w:p w14:paraId="4DE8CF65" w14:textId="77777777" w:rsidR="00AD00BF" w:rsidRDefault="00000000">
      <w:pPr>
        <w:bidi/>
        <w:jc w:val="both"/>
      </w:pPr>
      <w:r>
        <w:rPr>
          <w:rFonts w:cs="B Nazanin"/>
          <w:color w:val="EE0000"/>
          <w:sz w:val="28"/>
          <w:szCs w:val="28"/>
          <w:rtl/>
        </w:rPr>
        <w:t>منابع و ماخذ</w:t>
      </w:r>
    </w:p>
    <w:p w14:paraId="77692C61" w14:textId="77777777" w:rsidR="00AD00BF" w:rsidRDefault="00000000">
      <w:pPr>
        <w:bidi/>
        <w:jc w:val="both"/>
      </w:pPr>
      <w:r>
        <w:rPr>
          <w:rFonts w:cs="B Nazanin"/>
          <w:sz w:val="28"/>
          <w:szCs w:val="28"/>
          <w:rtl/>
        </w:rPr>
        <w:t xml:space="preserve">- امام خمینی، روح‌الله(1368) تحریر الوسیله. جلد </w:t>
      </w:r>
      <w:r>
        <w:rPr>
          <w:rFonts w:cs="B Nazanin"/>
          <w:sz w:val="28"/>
          <w:szCs w:val="28"/>
          <w:rtl/>
          <w:lang w:bidi="fa-IR"/>
        </w:rPr>
        <w:t xml:space="preserve">۲. </w:t>
      </w:r>
      <w:r>
        <w:rPr>
          <w:rFonts w:cs="B Nazanin"/>
          <w:sz w:val="28"/>
          <w:szCs w:val="28"/>
          <w:rtl/>
        </w:rPr>
        <w:t xml:space="preserve">چاپ سوم. مؤسسه تنظیم و نشر آثار امام خمینی.  </w:t>
      </w:r>
    </w:p>
    <w:p w14:paraId="18D88B83" w14:textId="77777777" w:rsidR="00AD00BF" w:rsidRDefault="00000000">
      <w:pPr>
        <w:bidi/>
        <w:jc w:val="both"/>
      </w:pPr>
      <w:r>
        <w:rPr>
          <w:rFonts w:cs="B Nazanin"/>
          <w:sz w:val="28"/>
          <w:szCs w:val="28"/>
          <w:rtl/>
        </w:rPr>
        <w:t xml:space="preserve">- انصاری، شیخ مرتضی(1281) المکاسب. جلد </w:t>
      </w:r>
      <w:r>
        <w:rPr>
          <w:rFonts w:cs="B Nazanin"/>
          <w:sz w:val="28"/>
          <w:szCs w:val="28"/>
          <w:rtl/>
          <w:lang w:bidi="fa-IR"/>
        </w:rPr>
        <w:t>۱</w:t>
      </w:r>
      <w:r>
        <w:rPr>
          <w:rFonts w:cs="B Nazanin"/>
          <w:sz w:val="28"/>
          <w:szCs w:val="28"/>
          <w:rtl/>
        </w:rPr>
        <w:t xml:space="preserve"> و </w:t>
      </w:r>
      <w:r>
        <w:rPr>
          <w:rFonts w:cs="B Nazanin"/>
          <w:sz w:val="28"/>
          <w:szCs w:val="28"/>
          <w:rtl/>
          <w:lang w:bidi="fa-IR"/>
        </w:rPr>
        <w:t xml:space="preserve">۳. </w:t>
      </w:r>
      <w:r>
        <w:rPr>
          <w:rFonts w:cs="B Nazanin"/>
          <w:sz w:val="28"/>
          <w:szCs w:val="28"/>
          <w:rtl/>
        </w:rPr>
        <w:t xml:space="preserve">چاپ جدید. انتشارات دارالکتب الاسلامیه.  </w:t>
      </w:r>
    </w:p>
    <w:p w14:paraId="466CE73F" w14:textId="77777777" w:rsidR="00AD00BF" w:rsidRDefault="00000000">
      <w:pPr>
        <w:bidi/>
        <w:jc w:val="both"/>
      </w:pPr>
      <w:r>
        <w:rPr>
          <w:rFonts w:cs="B Nazanin"/>
          <w:sz w:val="28"/>
          <w:szCs w:val="28"/>
          <w:rtl/>
        </w:rPr>
        <w:t xml:space="preserve">- بجنوردی، حسن موسوی(1370) القواعد الفقهیه. جلد </w:t>
      </w:r>
      <w:r>
        <w:rPr>
          <w:rFonts w:cs="B Nazanin"/>
          <w:sz w:val="28"/>
          <w:szCs w:val="28"/>
          <w:rtl/>
          <w:lang w:bidi="fa-IR"/>
        </w:rPr>
        <w:t>۱</w:t>
      </w:r>
      <w:r>
        <w:rPr>
          <w:rFonts w:cs="B Nazanin"/>
          <w:sz w:val="28"/>
          <w:szCs w:val="28"/>
          <w:rtl/>
        </w:rPr>
        <w:t xml:space="preserve"> و </w:t>
      </w:r>
      <w:r>
        <w:rPr>
          <w:rFonts w:cs="B Nazanin"/>
          <w:sz w:val="28"/>
          <w:szCs w:val="28"/>
          <w:rtl/>
          <w:lang w:bidi="fa-IR"/>
        </w:rPr>
        <w:t xml:space="preserve">۴. </w:t>
      </w:r>
      <w:r>
        <w:rPr>
          <w:rFonts w:cs="B Nazanin"/>
          <w:sz w:val="28"/>
          <w:szCs w:val="28"/>
          <w:rtl/>
        </w:rPr>
        <w:t xml:space="preserve">چاپ دوم. انتشارات دارالفکر.  </w:t>
      </w:r>
    </w:p>
    <w:p w14:paraId="5AF040BD" w14:textId="77777777" w:rsidR="00AD00BF" w:rsidRDefault="00000000">
      <w:pPr>
        <w:bidi/>
        <w:jc w:val="both"/>
      </w:pPr>
      <w:r>
        <w:rPr>
          <w:rFonts w:cs="B Nazanin"/>
          <w:sz w:val="28"/>
          <w:szCs w:val="28"/>
          <w:rtl/>
        </w:rPr>
        <w:t xml:space="preserve">- حلی، علامه (حسن بن یوسف(726 ق ) تذکره الفقهاء. جلد </w:t>
      </w:r>
      <w:r>
        <w:rPr>
          <w:rFonts w:cs="B Nazanin"/>
          <w:sz w:val="28"/>
          <w:szCs w:val="28"/>
          <w:rtl/>
          <w:lang w:bidi="fa-IR"/>
        </w:rPr>
        <w:t xml:space="preserve">۱۴. </w:t>
      </w:r>
      <w:r>
        <w:rPr>
          <w:rFonts w:cs="B Nazanin"/>
          <w:sz w:val="28"/>
          <w:szCs w:val="28"/>
          <w:rtl/>
        </w:rPr>
        <w:t xml:space="preserve">چاپ اول. انتشارات دارالکتب الاسلامیه.  </w:t>
      </w:r>
    </w:p>
    <w:p w14:paraId="4DF07F3B" w14:textId="77777777" w:rsidR="00AD00BF" w:rsidRDefault="00000000">
      <w:pPr>
        <w:bidi/>
        <w:jc w:val="both"/>
      </w:pPr>
      <w:r>
        <w:rPr>
          <w:rFonts w:cs="B Nazanin"/>
          <w:sz w:val="28"/>
          <w:szCs w:val="28"/>
          <w:rtl/>
        </w:rPr>
        <w:lastRenderedPageBreak/>
        <w:t xml:space="preserve">- حلی، محقق (نجم‌الدین جعفر). المعتبر(675 ق )جلد </w:t>
      </w:r>
      <w:r>
        <w:rPr>
          <w:rFonts w:cs="B Nazanin"/>
          <w:sz w:val="28"/>
          <w:szCs w:val="28"/>
          <w:rtl/>
          <w:lang w:bidi="fa-IR"/>
        </w:rPr>
        <w:t xml:space="preserve">۲. </w:t>
      </w:r>
      <w:r>
        <w:rPr>
          <w:rFonts w:cs="B Nazanin"/>
          <w:sz w:val="28"/>
          <w:szCs w:val="28"/>
          <w:rtl/>
        </w:rPr>
        <w:t xml:space="preserve">چاپ دوم. انتشارات دارالکتب الاسلامیه.  </w:t>
      </w:r>
    </w:p>
    <w:p w14:paraId="1E4DDBD8" w14:textId="77777777" w:rsidR="00AD00BF" w:rsidRDefault="00000000">
      <w:pPr>
        <w:bidi/>
        <w:jc w:val="both"/>
      </w:pPr>
      <w:r>
        <w:rPr>
          <w:rFonts w:cs="B Nazanin"/>
          <w:sz w:val="28"/>
          <w:szCs w:val="28"/>
          <w:rtl/>
        </w:rPr>
        <w:t xml:space="preserve">- خویی، سید ابوالقاسم(1410) مصباح الفقاهة. جلد </w:t>
      </w:r>
      <w:r>
        <w:rPr>
          <w:rFonts w:cs="B Nazanin"/>
          <w:sz w:val="28"/>
          <w:szCs w:val="28"/>
          <w:rtl/>
          <w:lang w:bidi="fa-IR"/>
        </w:rPr>
        <w:t xml:space="preserve">۲. </w:t>
      </w:r>
      <w:r>
        <w:rPr>
          <w:rFonts w:cs="B Nazanin"/>
          <w:sz w:val="28"/>
          <w:szCs w:val="28"/>
          <w:rtl/>
        </w:rPr>
        <w:t xml:space="preserve">چاپ دوم. انتشارات دارالزهراء.  </w:t>
      </w:r>
    </w:p>
    <w:p w14:paraId="2BF7A60B" w14:textId="77777777" w:rsidR="00AD00BF" w:rsidRDefault="00000000">
      <w:pPr>
        <w:bidi/>
        <w:jc w:val="both"/>
      </w:pPr>
      <w:r>
        <w:rPr>
          <w:rFonts w:cs="B Nazanin"/>
          <w:sz w:val="28"/>
          <w:szCs w:val="28"/>
          <w:rtl/>
        </w:rPr>
        <w:t xml:space="preserve">- داماد، سید مصطفی محقق(1375) قواعد فقه. جلد </w:t>
      </w:r>
      <w:r>
        <w:rPr>
          <w:rFonts w:cs="B Nazanin"/>
          <w:sz w:val="28"/>
          <w:szCs w:val="28"/>
          <w:rtl/>
          <w:lang w:bidi="fa-IR"/>
        </w:rPr>
        <w:t xml:space="preserve">۱. </w:t>
      </w:r>
      <w:r>
        <w:rPr>
          <w:rFonts w:cs="B Nazanin"/>
          <w:sz w:val="28"/>
          <w:szCs w:val="28"/>
          <w:rtl/>
        </w:rPr>
        <w:t xml:space="preserve">چاپ اول. انتشارات سمت.  </w:t>
      </w:r>
    </w:p>
    <w:p w14:paraId="56A9ACCA" w14:textId="77777777" w:rsidR="00AD00BF" w:rsidRDefault="00000000">
      <w:pPr>
        <w:bidi/>
        <w:jc w:val="both"/>
      </w:pPr>
      <w:r>
        <w:rPr>
          <w:rFonts w:cs="B Nazanin"/>
          <w:sz w:val="28"/>
          <w:szCs w:val="28"/>
          <w:rtl/>
        </w:rPr>
        <w:t xml:space="preserve">- طباطبایی یزدی، سید محمدکاظم(1337)حاشیه بر مکاسب. جلد </w:t>
      </w:r>
      <w:r>
        <w:rPr>
          <w:rFonts w:cs="B Nazanin"/>
          <w:sz w:val="28"/>
          <w:szCs w:val="28"/>
          <w:rtl/>
          <w:lang w:bidi="fa-IR"/>
        </w:rPr>
        <w:t xml:space="preserve">۱. </w:t>
      </w:r>
      <w:r>
        <w:rPr>
          <w:rFonts w:cs="B Nazanin"/>
          <w:sz w:val="28"/>
          <w:szCs w:val="28"/>
          <w:rtl/>
        </w:rPr>
        <w:t xml:space="preserve">چاپ دوم. انتشارات دارالکتب الاسلامیه.  </w:t>
      </w:r>
    </w:p>
    <w:p w14:paraId="4656B572" w14:textId="77777777" w:rsidR="00AD00BF" w:rsidRDefault="00000000">
      <w:pPr>
        <w:bidi/>
        <w:jc w:val="both"/>
      </w:pPr>
      <w:r>
        <w:rPr>
          <w:rFonts w:cs="B Nazanin"/>
          <w:sz w:val="28"/>
          <w:szCs w:val="28"/>
          <w:rtl/>
        </w:rPr>
        <w:t xml:space="preserve">- شهید ثانی، زین‌الدین بن علی. الروضه البهیه(966 ق ) جلد </w:t>
      </w:r>
      <w:r>
        <w:rPr>
          <w:rFonts w:cs="B Nazanin"/>
          <w:sz w:val="28"/>
          <w:szCs w:val="28"/>
          <w:rtl/>
          <w:lang w:bidi="fa-IR"/>
        </w:rPr>
        <w:t xml:space="preserve">۲. </w:t>
      </w:r>
      <w:r>
        <w:rPr>
          <w:rFonts w:cs="B Nazanin"/>
          <w:sz w:val="28"/>
          <w:szCs w:val="28"/>
          <w:rtl/>
        </w:rPr>
        <w:t xml:space="preserve">چاپ سنگی قدیم. انتشارات دارالکتب الاسلامیه.  </w:t>
      </w:r>
    </w:p>
    <w:p w14:paraId="077BBE1E" w14:textId="77777777" w:rsidR="00AD00BF" w:rsidRDefault="00000000">
      <w:pPr>
        <w:bidi/>
        <w:jc w:val="both"/>
      </w:pPr>
      <w:r>
        <w:rPr>
          <w:rFonts w:cs="B Nazanin"/>
          <w:sz w:val="28"/>
          <w:szCs w:val="28"/>
          <w:rtl/>
        </w:rPr>
        <w:t xml:space="preserve">- فاضل هندی، محمد بن حسن(1080)کشف اللثام. جلد </w:t>
      </w:r>
      <w:r>
        <w:rPr>
          <w:rFonts w:cs="B Nazanin"/>
          <w:sz w:val="28"/>
          <w:szCs w:val="28"/>
          <w:rtl/>
          <w:lang w:bidi="fa-IR"/>
        </w:rPr>
        <w:t xml:space="preserve">۲. </w:t>
      </w:r>
      <w:r>
        <w:rPr>
          <w:rFonts w:cs="B Nazanin"/>
          <w:sz w:val="28"/>
          <w:szCs w:val="28"/>
          <w:rtl/>
        </w:rPr>
        <w:t xml:space="preserve">چاپ اول. انتشارات دارالکتب الاسلامیه.  </w:t>
      </w:r>
    </w:p>
    <w:p w14:paraId="3139475C" w14:textId="77777777" w:rsidR="00AD00BF" w:rsidRDefault="00000000">
      <w:pPr>
        <w:bidi/>
        <w:jc w:val="both"/>
      </w:pPr>
      <w:r>
        <w:rPr>
          <w:rFonts w:cs="B Nazanin"/>
          <w:sz w:val="28"/>
          <w:szCs w:val="28"/>
          <w:rtl/>
        </w:rPr>
        <w:t xml:space="preserve">- فخرالمحققین، محمد بن حسن(771 ق) ایضاح الفوائد. جلد </w:t>
      </w:r>
      <w:r>
        <w:rPr>
          <w:rFonts w:cs="B Nazanin"/>
          <w:sz w:val="28"/>
          <w:szCs w:val="28"/>
          <w:rtl/>
          <w:lang w:bidi="fa-IR"/>
        </w:rPr>
        <w:t xml:space="preserve">۲. </w:t>
      </w:r>
      <w:r>
        <w:rPr>
          <w:rFonts w:cs="B Nazanin"/>
          <w:sz w:val="28"/>
          <w:szCs w:val="28"/>
          <w:rtl/>
        </w:rPr>
        <w:t xml:space="preserve">چاپ اول. انتشارات دارالکتب الاسلامیه.  </w:t>
      </w:r>
    </w:p>
    <w:p w14:paraId="7D7372AE" w14:textId="77777777" w:rsidR="00AD00BF" w:rsidRDefault="00000000">
      <w:pPr>
        <w:bidi/>
        <w:jc w:val="both"/>
      </w:pPr>
      <w:r>
        <w:rPr>
          <w:rFonts w:cs="B Nazanin"/>
          <w:sz w:val="28"/>
          <w:szCs w:val="28"/>
          <w:rtl/>
        </w:rPr>
        <w:t xml:space="preserve">- یزدی، سید محمدکاظم. العروة الوثقى(1322ق) جلد </w:t>
      </w:r>
      <w:r>
        <w:rPr>
          <w:rFonts w:cs="B Nazanin"/>
          <w:sz w:val="28"/>
          <w:szCs w:val="28"/>
          <w:rtl/>
          <w:lang w:bidi="fa-IR"/>
        </w:rPr>
        <w:t xml:space="preserve">۱. </w:t>
      </w:r>
      <w:r>
        <w:rPr>
          <w:rFonts w:cs="B Nazanin"/>
          <w:sz w:val="28"/>
          <w:szCs w:val="28"/>
          <w:rtl/>
        </w:rPr>
        <w:t>چاپ دوم. انتشارات دارالکتب الاسلامیه.</w:t>
      </w:r>
    </w:p>
    <w:p w14:paraId="51036A61" w14:textId="77777777" w:rsidR="00AD00BF" w:rsidRDefault="00000000">
      <w:pPr>
        <w:bidi/>
        <w:jc w:val="both"/>
      </w:pPr>
      <w:r>
        <w:rPr>
          <w:rFonts w:cs="B Nazanin"/>
          <w:sz w:val="28"/>
          <w:szCs w:val="28"/>
          <w:rtl/>
        </w:rPr>
        <w:t xml:space="preserve">- نجفی، محمدحسن.(1266 ق)  (صاحب جواهر) جواهر الکلام. جلد </w:t>
      </w:r>
      <w:r>
        <w:rPr>
          <w:rFonts w:cs="B Nazanin"/>
          <w:sz w:val="28"/>
          <w:szCs w:val="28"/>
          <w:rtl/>
          <w:lang w:bidi="fa-IR"/>
        </w:rPr>
        <w:t xml:space="preserve">۳۷. </w:t>
      </w:r>
      <w:r>
        <w:rPr>
          <w:rFonts w:cs="B Nazanin"/>
          <w:sz w:val="28"/>
          <w:szCs w:val="28"/>
          <w:rtl/>
        </w:rPr>
        <w:t xml:space="preserve">چاپ اول. تهران: دارالکتب الاسلامیه.  </w:t>
      </w:r>
    </w:p>
    <w:p w14:paraId="0B14FE1B" w14:textId="77777777" w:rsidR="00AD00BF" w:rsidRDefault="00000000">
      <w:pPr>
        <w:bidi/>
        <w:jc w:val="both"/>
      </w:pPr>
      <w:r>
        <w:rPr>
          <w:rFonts w:cs="B Nazanin"/>
          <w:sz w:val="28"/>
          <w:szCs w:val="28"/>
          <w:rtl/>
        </w:rPr>
        <w:t>- قانون مدنی ایران (</w:t>
      </w:r>
      <w:r>
        <w:rPr>
          <w:rFonts w:cs="B Nazanin"/>
          <w:sz w:val="28"/>
          <w:szCs w:val="28"/>
          <w:rtl/>
          <w:lang w:bidi="fa-IR"/>
        </w:rPr>
        <w:t>۱۳۱۴</w:t>
      </w:r>
      <w:r>
        <w:rPr>
          <w:rFonts w:cs="B Nazanin"/>
          <w:sz w:val="28"/>
          <w:szCs w:val="28"/>
          <w:rtl/>
        </w:rPr>
        <w:t xml:space="preserve">ش). قانون مدنی. ماده </w:t>
      </w:r>
      <w:r>
        <w:rPr>
          <w:rFonts w:cs="B Nazanin"/>
          <w:sz w:val="28"/>
          <w:szCs w:val="28"/>
          <w:rtl/>
          <w:lang w:bidi="fa-IR"/>
        </w:rPr>
        <w:t xml:space="preserve">۳۰۸. </w:t>
      </w:r>
      <w:r>
        <w:rPr>
          <w:rFonts w:cs="B Nazanin"/>
          <w:sz w:val="28"/>
          <w:szCs w:val="28"/>
          <w:rtl/>
        </w:rPr>
        <w:t xml:space="preserve">تهران: مجلس شورای ملی.  </w:t>
      </w:r>
    </w:p>
    <w:p w14:paraId="3F6516BE" w14:textId="77777777" w:rsidR="00AD00BF" w:rsidRDefault="00AD00BF">
      <w:pPr>
        <w:bidi/>
        <w:jc w:val="both"/>
        <w:rPr>
          <w:rFonts w:cs="B Nazanin"/>
          <w:sz w:val="28"/>
          <w:szCs w:val="28"/>
        </w:rPr>
      </w:pPr>
    </w:p>
    <w:p w14:paraId="2426550F" w14:textId="77777777" w:rsidR="00AD00BF" w:rsidRDefault="00AD00BF">
      <w:pPr>
        <w:bidi/>
        <w:jc w:val="both"/>
        <w:rPr>
          <w:rFonts w:cs="B Nazanin"/>
          <w:sz w:val="28"/>
          <w:szCs w:val="28"/>
        </w:rPr>
      </w:pPr>
    </w:p>
    <w:sectPr w:rsidR="00AD00BF">
      <w:footerReference w:type="default" r:id="rId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4C6B" w14:textId="77777777" w:rsidR="00307D31" w:rsidRDefault="00307D31">
      <w:pPr>
        <w:spacing w:after="0" w:line="240" w:lineRule="auto"/>
      </w:pPr>
      <w:r>
        <w:separator/>
      </w:r>
    </w:p>
  </w:endnote>
  <w:endnote w:type="continuationSeparator" w:id="0">
    <w:p w14:paraId="09199948" w14:textId="77777777" w:rsidR="00307D31" w:rsidRDefault="0030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61D2" w14:textId="77777777" w:rsidR="00000000" w:rsidRDefault="00000000">
    <w:pPr>
      <w:pStyle w:val="Footer"/>
      <w:tabs>
        <w:tab w:val="clear" w:pos="4680"/>
        <w:tab w:val="clear" w:pos="9360"/>
      </w:tabs>
      <w:jc w:val="center"/>
    </w:pPr>
    <w:r>
      <w:rPr>
        <w:caps/>
        <w:color w:val="4472C4"/>
      </w:rPr>
      <w:fldChar w:fldCharType="begin"/>
    </w:r>
    <w:r>
      <w:rPr>
        <w:caps/>
        <w:color w:val="4472C4"/>
      </w:rPr>
      <w:instrText xml:space="preserve"> PAGE </w:instrText>
    </w:r>
    <w:r>
      <w:rPr>
        <w:caps/>
        <w:color w:val="4472C4"/>
      </w:rPr>
      <w:fldChar w:fldCharType="separate"/>
    </w:r>
    <w:r>
      <w:rPr>
        <w:caps/>
        <w:color w:val="4472C4"/>
      </w:rPr>
      <w:t>2</w:t>
    </w:r>
    <w:r>
      <w:rPr>
        <w:caps/>
        <w:color w:val="4472C4"/>
      </w:rPr>
      <w:fldChar w:fldCharType="end"/>
    </w:r>
  </w:p>
  <w:p w14:paraId="5C78A9B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801D" w14:textId="77777777" w:rsidR="00307D31" w:rsidRDefault="00307D31">
      <w:pPr>
        <w:spacing w:after="0" w:line="240" w:lineRule="auto"/>
      </w:pPr>
      <w:r>
        <w:rPr>
          <w:color w:val="000000"/>
        </w:rPr>
        <w:separator/>
      </w:r>
    </w:p>
  </w:footnote>
  <w:footnote w:type="continuationSeparator" w:id="0">
    <w:p w14:paraId="265E22D5" w14:textId="77777777" w:rsidR="00307D31" w:rsidRDefault="00307D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D00BF"/>
    <w:rsid w:val="00307D31"/>
    <w:rsid w:val="00AD00BF"/>
    <w:rsid w:val="00DD5FB9"/>
    <w:rsid w:val="00FD78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B809"/>
  <w15:docId w15:val="{3CF223A2-D7F0-45F4-8816-9D44B087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cs="Times New Roman"/>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2038</Words>
  <Characters>11618</Characters>
  <Application>Microsoft Office Word</Application>
  <DocSecurity>0</DocSecurity>
  <Lines>96</Lines>
  <Paragraphs>27</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dc:creator>
  <dc:description/>
  <cp:lastModifiedBy>safa</cp:lastModifiedBy>
  <cp:revision>2</cp:revision>
  <dcterms:created xsi:type="dcterms:W3CDTF">2025-12-03T15:21:00Z</dcterms:created>
  <dcterms:modified xsi:type="dcterms:W3CDTF">2025-12-03T15:21:00Z</dcterms:modified>
</cp:coreProperties>
</file>